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93533" w14:textId="77777777" w:rsidR="00625581" w:rsidRDefault="00625581" w:rsidP="00625581">
      <w:pPr>
        <w:spacing w:line="360" w:lineRule="auto"/>
        <w:jc w:val="both"/>
        <w:rPr>
          <w:rFonts w:ascii="Arial" w:eastAsia="Arial" w:hAnsi="Arial" w:cs="Arial"/>
        </w:rPr>
      </w:pPr>
      <w:r>
        <w:rPr>
          <w:rFonts w:ascii="Arial" w:eastAsia="Arial" w:hAnsi="Arial" w:cs="Arial"/>
          <w:b/>
        </w:rPr>
        <w:t>Supplementary</w:t>
      </w:r>
      <w:r>
        <w:rPr>
          <w:rFonts w:ascii="Arial" w:eastAsia="Arial" w:hAnsi="Arial" w:cs="Arial"/>
        </w:rPr>
        <w:t xml:space="preserve"> </w:t>
      </w:r>
      <w:r>
        <w:rPr>
          <w:rFonts w:ascii="Arial" w:eastAsia="Arial" w:hAnsi="Arial" w:cs="Arial"/>
          <w:b/>
        </w:rPr>
        <w:t xml:space="preserve">Table 1: </w:t>
      </w:r>
      <w:r>
        <w:rPr>
          <w:rFonts w:ascii="Arial" w:eastAsia="Arial" w:hAnsi="Arial" w:cs="Arial"/>
        </w:rPr>
        <w:t xml:space="preserve">Details pertaining to cohorts, datasets, and comparisons analyzed. </w:t>
      </w:r>
    </w:p>
    <w:tbl>
      <w:tblPr>
        <w:tblW w:w="11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1260"/>
        <w:gridCol w:w="1350"/>
        <w:gridCol w:w="990"/>
        <w:gridCol w:w="2700"/>
        <w:gridCol w:w="3420"/>
      </w:tblGrid>
      <w:tr w:rsidR="00625581" w14:paraId="5C6363E6" w14:textId="77777777" w:rsidTr="000D055E">
        <w:tc>
          <w:tcPr>
            <w:tcW w:w="1885" w:type="dxa"/>
            <w:shd w:val="clear" w:color="auto" w:fill="F2F2F2"/>
            <w:vAlign w:val="center"/>
          </w:tcPr>
          <w:p w14:paraId="621AA85D" w14:textId="77777777" w:rsidR="00625581" w:rsidRPr="00703F82" w:rsidRDefault="00625581" w:rsidP="000D055E">
            <w:pPr>
              <w:spacing w:line="360" w:lineRule="auto"/>
              <w:rPr>
                <w:rFonts w:ascii="Arial" w:eastAsia="Arial" w:hAnsi="Arial" w:cs="Arial"/>
                <w:b/>
                <w:sz w:val="20"/>
                <w:szCs w:val="20"/>
              </w:rPr>
            </w:pPr>
            <w:r w:rsidRPr="001234E1">
              <w:rPr>
                <w:rFonts w:ascii="Arial" w:eastAsia="Arial" w:hAnsi="Arial" w:cs="Arial"/>
                <w:b/>
                <w:sz w:val="20"/>
                <w:szCs w:val="20"/>
              </w:rPr>
              <w:t>Cohort</w:t>
            </w:r>
          </w:p>
        </w:tc>
        <w:tc>
          <w:tcPr>
            <w:tcW w:w="1260" w:type="dxa"/>
            <w:shd w:val="clear" w:color="auto" w:fill="F2F2F2"/>
            <w:vAlign w:val="center"/>
          </w:tcPr>
          <w:p w14:paraId="33B9D287" w14:textId="77777777" w:rsidR="00625581" w:rsidRPr="00703F82" w:rsidRDefault="00625581" w:rsidP="000D055E">
            <w:pPr>
              <w:spacing w:line="360" w:lineRule="auto"/>
              <w:rPr>
                <w:rFonts w:ascii="Arial" w:eastAsia="Arial" w:hAnsi="Arial" w:cs="Arial"/>
                <w:b/>
                <w:sz w:val="20"/>
                <w:szCs w:val="20"/>
              </w:rPr>
            </w:pPr>
            <w:r w:rsidRPr="00703F82">
              <w:rPr>
                <w:rFonts w:ascii="Arial" w:eastAsia="Arial" w:hAnsi="Arial" w:cs="Arial"/>
                <w:b/>
                <w:sz w:val="20"/>
                <w:szCs w:val="20"/>
              </w:rPr>
              <w:t>Bio</w:t>
            </w:r>
            <w:r>
              <w:rPr>
                <w:rFonts w:ascii="Arial" w:eastAsia="Arial" w:hAnsi="Arial" w:cs="Arial"/>
                <w:b/>
                <w:sz w:val="20"/>
                <w:szCs w:val="20"/>
              </w:rPr>
              <w:t>-</w:t>
            </w:r>
            <w:r w:rsidRPr="00703F82">
              <w:rPr>
                <w:rFonts w:ascii="Arial" w:eastAsia="Arial" w:hAnsi="Arial" w:cs="Arial"/>
                <w:b/>
                <w:sz w:val="20"/>
                <w:szCs w:val="20"/>
              </w:rPr>
              <w:t>specimen type</w:t>
            </w:r>
          </w:p>
        </w:tc>
        <w:tc>
          <w:tcPr>
            <w:tcW w:w="1350" w:type="dxa"/>
            <w:shd w:val="clear" w:color="auto" w:fill="F2F2F2"/>
          </w:tcPr>
          <w:p w14:paraId="7ACE44E1" w14:textId="77777777" w:rsidR="00625581" w:rsidRPr="00FE612E" w:rsidRDefault="00625581" w:rsidP="000D055E">
            <w:pPr>
              <w:spacing w:line="360" w:lineRule="auto"/>
              <w:rPr>
                <w:rFonts w:ascii="Arial" w:eastAsia="Arial" w:hAnsi="Arial" w:cs="Arial"/>
                <w:b/>
                <w:sz w:val="20"/>
                <w:szCs w:val="20"/>
              </w:rPr>
            </w:pPr>
            <w:r>
              <w:rPr>
                <w:rFonts w:ascii="Arial" w:eastAsia="Arial" w:hAnsi="Arial" w:cs="Arial"/>
                <w:b/>
                <w:bCs/>
                <w:sz w:val="20"/>
                <w:szCs w:val="20"/>
              </w:rPr>
              <w:t>Counts</w:t>
            </w:r>
            <w:r w:rsidRPr="00FE612E">
              <w:rPr>
                <w:rFonts w:ascii="Arial" w:eastAsia="Arial" w:hAnsi="Arial" w:cs="Arial"/>
                <w:b/>
                <w:bCs/>
                <w:sz w:val="20"/>
                <w:szCs w:val="20"/>
              </w:rPr>
              <w:t xml:space="preserve"> </w:t>
            </w:r>
            <w:r>
              <w:rPr>
                <w:rFonts w:ascii="Arial" w:eastAsia="Arial" w:hAnsi="Arial" w:cs="Arial"/>
                <w:b/>
                <w:bCs/>
                <w:sz w:val="20"/>
                <w:szCs w:val="20"/>
              </w:rPr>
              <w:t>(</w:t>
            </w:r>
            <w:r w:rsidRPr="00FE612E">
              <w:rPr>
                <w:rFonts w:ascii="Arial" w:eastAsia="Arial" w:hAnsi="Arial" w:cs="Arial"/>
                <w:b/>
                <w:bCs/>
                <w:sz w:val="20"/>
                <w:szCs w:val="20"/>
              </w:rPr>
              <w:t>C</w:t>
            </w:r>
            <w:r>
              <w:rPr>
                <w:rFonts w:ascii="Arial" w:eastAsia="Arial" w:hAnsi="Arial" w:cs="Arial"/>
                <w:b/>
                <w:bCs/>
                <w:sz w:val="20"/>
                <w:szCs w:val="20"/>
              </w:rPr>
              <w:t>ontrol</w:t>
            </w:r>
            <w:r w:rsidRPr="00FE612E">
              <w:rPr>
                <w:rFonts w:ascii="Arial" w:eastAsia="Arial" w:hAnsi="Arial" w:cs="Arial"/>
                <w:b/>
                <w:bCs/>
                <w:sz w:val="20"/>
                <w:szCs w:val="20"/>
              </w:rPr>
              <w:t>-UC-CD</w:t>
            </w:r>
            <w:r>
              <w:rPr>
                <w:rFonts w:ascii="Arial" w:eastAsia="Arial" w:hAnsi="Arial" w:cs="Arial"/>
                <w:b/>
                <w:bCs/>
                <w:sz w:val="20"/>
                <w:szCs w:val="20"/>
              </w:rPr>
              <w:t>)</w:t>
            </w:r>
          </w:p>
          <w:p w14:paraId="563562A6" w14:textId="77777777" w:rsidR="00625581" w:rsidRPr="000F1371" w:rsidRDefault="00625581" w:rsidP="000D055E">
            <w:pPr>
              <w:spacing w:line="360" w:lineRule="auto"/>
              <w:rPr>
                <w:rFonts w:ascii="Arial" w:eastAsia="Arial" w:hAnsi="Arial" w:cs="Arial"/>
                <w:b/>
                <w:sz w:val="20"/>
                <w:szCs w:val="20"/>
              </w:rPr>
            </w:pPr>
          </w:p>
        </w:tc>
        <w:tc>
          <w:tcPr>
            <w:tcW w:w="990" w:type="dxa"/>
            <w:shd w:val="clear" w:color="auto" w:fill="F2F2F2"/>
            <w:vAlign w:val="center"/>
          </w:tcPr>
          <w:p w14:paraId="59165E55" w14:textId="77777777" w:rsidR="00625581" w:rsidRPr="001234E1" w:rsidRDefault="00625581" w:rsidP="000D055E">
            <w:pPr>
              <w:spacing w:line="360" w:lineRule="auto"/>
              <w:rPr>
                <w:rFonts w:ascii="Arial" w:eastAsia="Arial" w:hAnsi="Arial" w:cs="Arial"/>
                <w:b/>
                <w:sz w:val="20"/>
                <w:szCs w:val="20"/>
              </w:rPr>
            </w:pPr>
            <w:r w:rsidRPr="001234E1">
              <w:rPr>
                <w:rFonts w:ascii="Arial" w:eastAsia="Arial" w:hAnsi="Arial" w:cs="Arial"/>
                <w:b/>
                <w:sz w:val="20"/>
                <w:szCs w:val="20"/>
              </w:rPr>
              <w:t>Target region</w:t>
            </w:r>
          </w:p>
        </w:tc>
        <w:tc>
          <w:tcPr>
            <w:tcW w:w="2700" w:type="dxa"/>
            <w:shd w:val="clear" w:color="auto" w:fill="F2F2F2"/>
            <w:vAlign w:val="center"/>
          </w:tcPr>
          <w:p w14:paraId="4A2DCF86" w14:textId="77777777" w:rsidR="00625581" w:rsidRPr="001234E1" w:rsidRDefault="00625581" w:rsidP="000D055E">
            <w:pPr>
              <w:spacing w:line="360" w:lineRule="auto"/>
              <w:rPr>
                <w:rFonts w:ascii="Arial" w:eastAsia="Arial" w:hAnsi="Arial" w:cs="Arial"/>
                <w:b/>
                <w:sz w:val="20"/>
                <w:szCs w:val="20"/>
              </w:rPr>
            </w:pPr>
            <w:r w:rsidRPr="001234E1">
              <w:rPr>
                <w:rFonts w:ascii="Arial" w:eastAsia="Arial" w:hAnsi="Arial" w:cs="Arial"/>
                <w:b/>
                <w:sz w:val="20"/>
                <w:szCs w:val="20"/>
              </w:rPr>
              <w:t>DNA-profiling technology</w:t>
            </w:r>
          </w:p>
        </w:tc>
        <w:tc>
          <w:tcPr>
            <w:tcW w:w="3420" w:type="dxa"/>
            <w:shd w:val="clear" w:color="auto" w:fill="F2F2F2"/>
            <w:vAlign w:val="center"/>
          </w:tcPr>
          <w:p w14:paraId="5A7F300E" w14:textId="77777777" w:rsidR="00625581" w:rsidRPr="001234E1" w:rsidRDefault="00625581" w:rsidP="000D055E">
            <w:pPr>
              <w:spacing w:line="360" w:lineRule="auto"/>
              <w:rPr>
                <w:rFonts w:ascii="Arial" w:eastAsia="Arial" w:hAnsi="Arial" w:cs="Arial"/>
                <w:b/>
                <w:sz w:val="20"/>
                <w:szCs w:val="20"/>
              </w:rPr>
            </w:pPr>
            <w:r w:rsidRPr="001234E1">
              <w:rPr>
                <w:rFonts w:ascii="Arial" w:eastAsia="Arial" w:hAnsi="Arial" w:cs="Arial"/>
                <w:b/>
                <w:sz w:val="20"/>
                <w:szCs w:val="20"/>
              </w:rPr>
              <w:t>Number of reads</w:t>
            </w:r>
            <w:r w:rsidRPr="001234E1">
              <w:rPr>
                <w:rFonts w:ascii="Arial" w:eastAsia="Arial" w:hAnsi="Arial" w:cs="Arial"/>
                <w:b/>
                <w:sz w:val="20"/>
                <w:szCs w:val="20"/>
              </w:rPr>
              <w:br/>
              <w:t>Median (range)</w:t>
            </w:r>
          </w:p>
        </w:tc>
      </w:tr>
      <w:tr w:rsidR="00625581" w14:paraId="622EC474" w14:textId="77777777" w:rsidTr="000D055E">
        <w:tc>
          <w:tcPr>
            <w:tcW w:w="1885" w:type="dxa"/>
            <w:vAlign w:val="center"/>
          </w:tcPr>
          <w:p w14:paraId="6BFC4E16" w14:textId="77777777" w:rsidR="00625581" w:rsidRPr="00703F82" w:rsidRDefault="00625581" w:rsidP="000D055E">
            <w:pPr>
              <w:spacing w:line="360" w:lineRule="auto"/>
              <w:rPr>
                <w:rFonts w:ascii="Arial" w:eastAsia="Arial" w:hAnsi="Arial" w:cs="Arial"/>
                <w:sz w:val="20"/>
                <w:szCs w:val="20"/>
              </w:rPr>
            </w:pPr>
            <w:r w:rsidRPr="00703F82">
              <w:rPr>
                <w:rFonts w:ascii="Arial" w:eastAsia="Arial" w:hAnsi="Arial" w:cs="Arial"/>
                <w:sz w:val="20"/>
                <w:szCs w:val="20"/>
              </w:rPr>
              <w:t>Gevers_2014</w:t>
            </w:r>
            <w:r>
              <w:rPr>
                <w:rFonts w:ascii="Arial" w:eastAsia="Arial" w:hAnsi="Arial" w:cs="Arial"/>
                <w:sz w:val="20"/>
                <w:szCs w:val="20"/>
              </w:rPr>
              <w:t xml:space="preserve"> </w:t>
            </w:r>
            <w:r>
              <w:rPr>
                <w:rFonts w:ascii="Arial" w:eastAsia="Arial" w:hAnsi="Arial" w:cs="Arial"/>
                <w:sz w:val="20"/>
                <w:szCs w:val="20"/>
              </w:rPr>
              <w:fldChar w:fldCharType="begin"/>
            </w:r>
            <w:r>
              <w:rPr>
                <w:rFonts w:ascii="Arial" w:eastAsia="Arial" w:hAnsi="Arial" w:cs="Arial"/>
                <w:sz w:val="20"/>
                <w:szCs w:val="20"/>
              </w:rPr>
              <w:instrText xml:space="preserve"> ADDIN ZOTERO_ITEM CSL_CITATION {"citationID":"a1scedkfsg","properties":{"formattedCitation":"(Gevers et al., 2014)","plainCitation":"(Gevers et al., 2014)","noteIndex":0},"citationItems":[{"id":457,"uris":["http://zotero.org/users/local/V6dRzw2J/items/2U86JFFK"],"itemData":{"id":457,"type":"article-journal","abstract":"Inflammatory bowel diseases (IBDs), including Crohn's disease (CD), are genetically linked to host pathways that implicate an underlying role for aberrant immune responses to intestinal microbiota. However, patterns of gut microbiome dysbiosis in IBD patients are inconsistent among published studies. Using samples from multiple gastrointestinal locations collected prior to treatment in new-onset cases, we studied the microbiome in the largest pediatric CD cohort to date. An axis defined by an increased abundance in bacteria which include Enterobacteriaceae, Pasteurellacaea, Veillonellaceae, and Fusobacteriaceae, and decreased abundance in Erysipelotrichales, Bacteroidales, and Clostridiales, correlates strongly with disease status. Microbiome comparison between CD patients with and without antibiotic exposure indicates that antibiotic use amplifies the microbial dysbiosis associated with CD. Comparing the microbial signatures between the ileum, the rectum, and fecal samples indicates that at this early stage of disease, assessing the rectal mucosal-associated microbiome offers unique potential for convenient and early diagnosis of CD.","container-title":"Cell Host &amp; Microbe","DOI":"10.1016/j.chom.2014.02.005","ISSN":"1934-6069","issue":"3","journalAbbreviation":"Cell Host Microbe","language":"eng","note":"PMID: 24629344\nPMCID: PMC4059512","page":"382-392","source":"PubMed","title":"The treatment-naive microbiome in new-onset Crohn's disease","volume":"15","author":[{"family":"Gevers","given":"Dirk"},{"family":"Kugathasan","given":"Subra"},{"family":"Denson","given":"Lee A."},{"family":"Vázquez-Baeza","given":"Yoshiki"},{"family":"Van Treuren","given":"Will"},{"family":"Ren","given":"Boyu"},{"family":"Schwager","given":"Emma"},{"family":"Knights","given":"Dan"},{"family":"Song","given":"Se Jin"},{"family":"Yassour","given":"Moran"},{"family":"Morgan","given":"Xochitl C."},{"family":"Kostic","given":"Aleksandar D."},{"family":"Luo","given":"Chengwei"},{"family":"González","given":"Antonio"},{"family":"McDonald","given":"Daniel"},{"family":"Haberman","given":"Yael"},{"family":"Walters","given":"Thomas"},{"family":"Baker","given":"Susan"},{"family":"Rosh","given":"Joel"},{"family":"Stephens","given":"Michael"},{"family":"Heyman","given":"Melvin"},{"family":"Markowitz","given":"James"},{"family":"Baldassano","given":"Robert"},{"family":"Griffiths","given":"Anne"},{"family":"Sylvester","given":"Francisco"},{"family":"Mack","given":"David"},{"family":"Kim","given":"Sandra"},{"family":"Crandall","given":"Wallace"},{"family":"Hyams","given":"Jeffrey"},{"family":"Huttenhower","given":"Curtis"},{"family":"Knight","given":"Rob"},{"family":"Xavier","given":"Ramnik J."}],"issued":{"date-parts":[["2014",3,12]]}}}],"schema":"https://github.com/citation-style-language/schema/raw/master/csl-citation.json"} </w:instrText>
            </w:r>
            <w:r>
              <w:rPr>
                <w:rFonts w:ascii="Arial" w:eastAsia="Arial" w:hAnsi="Arial" w:cs="Arial"/>
                <w:sz w:val="20"/>
                <w:szCs w:val="20"/>
              </w:rPr>
              <w:fldChar w:fldCharType="separate"/>
            </w:r>
            <w:r w:rsidRPr="005F6D64">
              <w:rPr>
                <w:rFonts w:ascii="Arial" w:hAnsi="Arial" w:cs="Arial"/>
                <w:sz w:val="20"/>
              </w:rPr>
              <w:t>(</w:t>
            </w:r>
            <w:proofErr w:type="spellStart"/>
            <w:r w:rsidRPr="005F6D64">
              <w:rPr>
                <w:rFonts w:ascii="Arial" w:hAnsi="Arial" w:cs="Arial"/>
                <w:sz w:val="20"/>
              </w:rPr>
              <w:t>Gevers</w:t>
            </w:r>
            <w:proofErr w:type="spellEnd"/>
            <w:r w:rsidRPr="005F6D64">
              <w:rPr>
                <w:rFonts w:ascii="Arial" w:hAnsi="Arial" w:cs="Arial"/>
                <w:sz w:val="20"/>
              </w:rPr>
              <w:t xml:space="preserve"> et al., 2014)</w:t>
            </w:r>
            <w:r>
              <w:rPr>
                <w:rFonts w:ascii="Arial" w:eastAsia="Arial" w:hAnsi="Arial" w:cs="Arial"/>
                <w:sz w:val="20"/>
                <w:szCs w:val="20"/>
              </w:rPr>
              <w:fldChar w:fldCharType="end"/>
            </w:r>
          </w:p>
        </w:tc>
        <w:tc>
          <w:tcPr>
            <w:tcW w:w="1260" w:type="dxa"/>
            <w:vAlign w:val="center"/>
          </w:tcPr>
          <w:p w14:paraId="494C9289" w14:textId="77777777" w:rsidR="00625581" w:rsidRPr="00703F82" w:rsidRDefault="00625581" w:rsidP="000D055E">
            <w:pPr>
              <w:spacing w:line="360" w:lineRule="auto"/>
              <w:rPr>
                <w:rFonts w:ascii="Arial" w:eastAsia="Arial" w:hAnsi="Arial" w:cs="Arial"/>
                <w:sz w:val="20"/>
                <w:szCs w:val="20"/>
              </w:rPr>
            </w:pPr>
            <w:r w:rsidRPr="00703F82">
              <w:rPr>
                <w:rFonts w:ascii="Arial" w:eastAsia="Arial" w:hAnsi="Arial" w:cs="Arial"/>
                <w:sz w:val="20"/>
                <w:szCs w:val="20"/>
              </w:rPr>
              <w:t>Mucosa</w:t>
            </w:r>
          </w:p>
        </w:tc>
        <w:tc>
          <w:tcPr>
            <w:tcW w:w="1350" w:type="dxa"/>
          </w:tcPr>
          <w:p w14:paraId="199E6504" w14:textId="77777777" w:rsidR="00625581" w:rsidRPr="005A70F7" w:rsidRDefault="00625581" w:rsidP="000D055E">
            <w:pPr>
              <w:spacing w:line="360" w:lineRule="auto"/>
              <w:rPr>
                <w:rFonts w:ascii="Arial" w:eastAsia="Arial" w:hAnsi="Arial" w:cs="Arial"/>
                <w:sz w:val="20"/>
                <w:szCs w:val="20"/>
              </w:rPr>
            </w:pPr>
            <w:r w:rsidRPr="00FE612E">
              <w:rPr>
                <w:rFonts w:ascii="Arial" w:eastAsia="Arial" w:hAnsi="Arial" w:cs="Arial"/>
                <w:sz w:val="20"/>
                <w:szCs w:val="20"/>
              </w:rPr>
              <w:t>109-30-165</w:t>
            </w:r>
          </w:p>
        </w:tc>
        <w:tc>
          <w:tcPr>
            <w:tcW w:w="990" w:type="dxa"/>
            <w:vAlign w:val="center"/>
          </w:tcPr>
          <w:p w14:paraId="6C961CB9" w14:textId="77777777" w:rsidR="00625581" w:rsidRPr="00703F82" w:rsidRDefault="00625581" w:rsidP="000D055E">
            <w:pPr>
              <w:spacing w:line="360" w:lineRule="auto"/>
              <w:rPr>
                <w:rFonts w:ascii="Arial" w:eastAsia="Arial" w:hAnsi="Arial" w:cs="Arial"/>
                <w:sz w:val="20"/>
                <w:szCs w:val="20"/>
              </w:rPr>
            </w:pPr>
            <w:r w:rsidRPr="00703F82">
              <w:rPr>
                <w:rFonts w:ascii="Arial" w:eastAsia="Arial" w:hAnsi="Arial" w:cs="Arial"/>
                <w:sz w:val="20"/>
                <w:szCs w:val="20"/>
              </w:rPr>
              <w:t>V4</w:t>
            </w:r>
          </w:p>
        </w:tc>
        <w:tc>
          <w:tcPr>
            <w:tcW w:w="2700" w:type="dxa"/>
            <w:vAlign w:val="center"/>
          </w:tcPr>
          <w:p w14:paraId="55D8CFFB" w14:textId="77777777" w:rsidR="00625581" w:rsidRPr="00703F82" w:rsidRDefault="00625581" w:rsidP="000D055E">
            <w:pPr>
              <w:spacing w:line="360" w:lineRule="auto"/>
              <w:rPr>
                <w:rFonts w:ascii="Arial" w:eastAsia="Arial" w:hAnsi="Arial" w:cs="Arial"/>
                <w:sz w:val="20"/>
                <w:szCs w:val="20"/>
              </w:rPr>
            </w:pPr>
            <w:r w:rsidRPr="00703F82">
              <w:rPr>
                <w:rFonts w:ascii="Arial" w:eastAsia="Arial" w:hAnsi="Arial" w:cs="Arial"/>
                <w:sz w:val="20"/>
                <w:szCs w:val="20"/>
              </w:rPr>
              <w:t xml:space="preserve">Illumina </w:t>
            </w:r>
            <w:proofErr w:type="spellStart"/>
            <w:r w:rsidRPr="00703F82">
              <w:rPr>
                <w:rFonts w:ascii="Arial" w:eastAsia="Arial" w:hAnsi="Arial" w:cs="Arial"/>
                <w:sz w:val="20"/>
                <w:szCs w:val="20"/>
              </w:rPr>
              <w:t>MiSeq</w:t>
            </w:r>
            <w:proofErr w:type="spellEnd"/>
          </w:p>
        </w:tc>
        <w:tc>
          <w:tcPr>
            <w:tcW w:w="3420" w:type="dxa"/>
            <w:vAlign w:val="center"/>
          </w:tcPr>
          <w:p w14:paraId="79AFA3E0" w14:textId="77777777" w:rsidR="00625581" w:rsidRPr="00703F82" w:rsidRDefault="00625581" w:rsidP="000D055E">
            <w:pPr>
              <w:spacing w:line="360" w:lineRule="auto"/>
              <w:rPr>
                <w:rFonts w:ascii="Arial" w:eastAsia="Arial" w:hAnsi="Arial" w:cs="Arial"/>
                <w:sz w:val="20"/>
                <w:szCs w:val="20"/>
              </w:rPr>
            </w:pPr>
            <w:r w:rsidRPr="00703F82">
              <w:rPr>
                <w:rFonts w:ascii="Arial" w:eastAsia="Arial" w:hAnsi="Arial" w:cs="Arial"/>
                <w:sz w:val="20"/>
                <w:szCs w:val="20"/>
              </w:rPr>
              <w:t>14,359.5 (249 – 100,657)</w:t>
            </w:r>
          </w:p>
        </w:tc>
      </w:tr>
      <w:tr w:rsidR="00625581" w14:paraId="355106B9" w14:textId="77777777" w:rsidTr="000D055E">
        <w:trPr>
          <w:trHeight w:val="405"/>
        </w:trPr>
        <w:tc>
          <w:tcPr>
            <w:tcW w:w="1885" w:type="dxa"/>
            <w:vMerge w:val="restart"/>
            <w:vAlign w:val="center"/>
          </w:tcPr>
          <w:p w14:paraId="37338E8D" w14:textId="77777777" w:rsidR="00625581" w:rsidRPr="00703F82" w:rsidRDefault="00625581" w:rsidP="000D055E">
            <w:pPr>
              <w:spacing w:line="360" w:lineRule="auto"/>
              <w:rPr>
                <w:rFonts w:ascii="Arial" w:eastAsia="Arial" w:hAnsi="Arial" w:cs="Arial"/>
                <w:sz w:val="20"/>
                <w:szCs w:val="20"/>
              </w:rPr>
            </w:pPr>
            <w:r w:rsidRPr="00703F82">
              <w:rPr>
                <w:rFonts w:ascii="Arial" w:eastAsia="Arial" w:hAnsi="Arial" w:cs="Arial"/>
                <w:sz w:val="20"/>
                <w:szCs w:val="20"/>
              </w:rPr>
              <w:t>Franzosa_2019</w:t>
            </w:r>
            <w:r>
              <w:rPr>
                <w:rFonts w:ascii="Arial" w:eastAsia="Arial" w:hAnsi="Arial" w:cs="Arial"/>
                <w:sz w:val="20"/>
                <w:szCs w:val="20"/>
              </w:rPr>
              <w:t xml:space="preserve"> </w:t>
            </w:r>
            <w:r>
              <w:rPr>
                <w:rFonts w:ascii="Arial" w:eastAsia="Arial" w:hAnsi="Arial" w:cs="Arial"/>
                <w:sz w:val="20"/>
                <w:szCs w:val="20"/>
              </w:rPr>
              <w:fldChar w:fldCharType="begin"/>
            </w:r>
            <w:r>
              <w:rPr>
                <w:rFonts w:ascii="Arial" w:eastAsia="Arial" w:hAnsi="Arial" w:cs="Arial"/>
                <w:sz w:val="20"/>
                <w:szCs w:val="20"/>
              </w:rPr>
              <w:instrText xml:space="preserve"> ADDIN ZOTERO_ITEM CSL_CITATION {"citationID":"a10k8m3erqt","properties":{"formattedCitation":"(Franzosa et al., 2019)","plainCitation":"(Franzosa et al., 2019)","noteIndex":0},"citationItems":[{"id":414,"uris":["http://zotero.org/users/local/V6dRzw2J/items/T7LEIBRL"],"itemData":{"id":414,"type":"article-journal","abstract":"The inflammatory bowel diseases (IBDs), which include Crohn's disease (CD) and ulcerative colitis (UC), are multifactorial chronic conditions of the gastrointestinal tract. While IBD has been associated with dramatic changes in the gut microbiota, changes in the gut metabolome-the molecular interface between host and microbiota-are less well understood. To address this gap, we performed untargeted metabolomic and shotgun metagenomic profiling of cross-sectional stool samples from discovery (n = 155) and validation (n = 65) cohorts of CD, UC and non-IBD control patients. Metabolomic and metagenomic profiles were broadly correlated with faecal calprotectin levels (a measure of gut inflammation). Across &gt;8,000 measured metabolite features, we identified chemicals and chemical classes that were differentially abundant in IBD, including enrichments for sphingolipids and bile acids, and depletions for triacylglycerols and tetrapyrroles. While &gt; 50% of differentially abundant metabolite features were uncharacterized, many could be assigned putative roles through metabolomic 'guilt by association' (covariation with known metabolites). Differentially abundant species and functions from the metagenomic profiles reflected adaptation to oxidative stress in the IBD gut, and were individually consistent with previous findings. Integrating these data, however, we identified 122 robust associations between differentially abundant species and well-characterized differentially abundant metabolites, indicating possible mechanistic relationships that are perturbed in IBD. Finally, we found that metabolome- and metagenome-based classifiers of IBD status were highly accurate and, like the vast majority of individual trends, generalized well to the independent validation cohort. Our findings thus provide an improved understanding of perturbations of the microbiome-metabolome interface in IBD, including identification of many potential diagnostic and therapeutic targets.","container-title":"Nature Microbiology","DOI":"10.1038/s41564-018-0306-4","ISSN":"2058-5276","issue":"2","journalAbbreviation":"Nat Microbiol","language":"eng","note":"PMID: 30531976\nPMCID: PMC6342642","page":"293-305","source":"PubMed","title":"Gut microbiome structure and metabolic activity in inflammatory bowel disease","volume":"4","author":[{"family":"Franzosa","given":"Eric A."},{"family":"Sirota-Madi","given":"Alexandra"},{"family":"Avila-Pacheco","given":"Julian"},{"family":"Fornelos","given":"Nadine"},{"family":"Haiser","given":"Henry J."},{"family":"Reinker","given":"Stefan"},{"family":"Vatanen","given":"Tommi"},{"family":"Hall","given":"A. Brantley"},{"family":"Mallick","given":"Himel"},{"family":"McIver","given":"Lauren J."},{"family":"Sauk","given":"Jenny S."},{"family":"Wilson","given":"Robin G."},{"family":"Stevens","given":"Betsy W."},{"family":"Scott","given":"Justin M."},{"family":"Pierce","given":"Kerry"},{"family":"Deik","given":"Amy A."},{"family":"Bullock","given":"Kevin"},{"family":"Imhann","given":"Floris"},{"family":"Porter","given":"Jeffrey A."},{"family":"Zhernakova","given":"Alexandra"},{"family":"Fu","given":"Jingyuan"},{"family":"Weersma","given":"Rinse K."},{"family":"Wijmenga","given":"Cisca"},{"family":"Clish","given":"Clary B."},{"family":"Vlamakis","given":"Hera"},{"family":"Huttenhower","given":"Curtis"},{"family":"Xavier","given":"Ramnik J."}],"issued":{"date-parts":[["2019",2]]}}}],"schema":"https://github.com/citation-style-language/schema/raw/master/csl-citation.json"} </w:instrText>
            </w:r>
            <w:r>
              <w:rPr>
                <w:rFonts w:ascii="Arial" w:eastAsia="Arial" w:hAnsi="Arial" w:cs="Arial"/>
                <w:sz w:val="20"/>
                <w:szCs w:val="20"/>
              </w:rPr>
              <w:fldChar w:fldCharType="separate"/>
            </w:r>
            <w:r w:rsidRPr="005F6D64">
              <w:rPr>
                <w:rFonts w:ascii="Arial" w:hAnsi="Arial" w:cs="Arial"/>
                <w:sz w:val="20"/>
              </w:rPr>
              <w:t>(</w:t>
            </w:r>
            <w:proofErr w:type="spellStart"/>
            <w:r w:rsidRPr="005F6D64">
              <w:rPr>
                <w:rFonts w:ascii="Arial" w:hAnsi="Arial" w:cs="Arial"/>
                <w:sz w:val="20"/>
              </w:rPr>
              <w:t>Franzosa</w:t>
            </w:r>
            <w:proofErr w:type="spellEnd"/>
            <w:r w:rsidRPr="005F6D64">
              <w:rPr>
                <w:rFonts w:ascii="Arial" w:hAnsi="Arial" w:cs="Arial"/>
                <w:sz w:val="20"/>
              </w:rPr>
              <w:t xml:space="preserve"> et al., 2019)</w:t>
            </w:r>
            <w:r>
              <w:rPr>
                <w:rFonts w:ascii="Arial" w:eastAsia="Arial" w:hAnsi="Arial" w:cs="Arial"/>
                <w:sz w:val="20"/>
                <w:szCs w:val="20"/>
              </w:rPr>
              <w:fldChar w:fldCharType="end"/>
            </w:r>
          </w:p>
        </w:tc>
        <w:tc>
          <w:tcPr>
            <w:tcW w:w="1260" w:type="dxa"/>
            <w:vMerge w:val="restart"/>
            <w:vAlign w:val="center"/>
          </w:tcPr>
          <w:p w14:paraId="4FF08D17" w14:textId="77777777" w:rsidR="00625581" w:rsidRPr="00703F82" w:rsidRDefault="00625581" w:rsidP="000D055E">
            <w:pPr>
              <w:spacing w:line="360" w:lineRule="auto"/>
              <w:rPr>
                <w:rFonts w:ascii="Arial" w:eastAsia="Arial" w:hAnsi="Arial" w:cs="Arial"/>
                <w:sz w:val="20"/>
                <w:szCs w:val="20"/>
              </w:rPr>
            </w:pPr>
            <w:r w:rsidRPr="00703F82">
              <w:rPr>
                <w:rFonts w:ascii="Arial" w:eastAsia="Arial" w:hAnsi="Arial" w:cs="Arial"/>
                <w:sz w:val="20"/>
                <w:szCs w:val="20"/>
              </w:rPr>
              <w:t>Stool</w:t>
            </w:r>
          </w:p>
        </w:tc>
        <w:tc>
          <w:tcPr>
            <w:tcW w:w="1350" w:type="dxa"/>
          </w:tcPr>
          <w:p w14:paraId="5A618B56" w14:textId="77777777" w:rsidR="00625581" w:rsidRPr="005A70F7" w:rsidRDefault="00625581" w:rsidP="000D055E">
            <w:pPr>
              <w:spacing w:line="360" w:lineRule="auto"/>
              <w:rPr>
                <w:rFonts w:ascii="Arial" w:eastAsia="Arial" w:hAnsi="Arial" w:cs="Arial"/>
                <w:sz w:val="20"/>
                <w:szCs w:val="20"/>
              </w:rPr>
            </w:pPr>
            <w:r w:rsidRPr="00FE612E">
              <w:rPr>
                <w:rFonts w:ascii="Arial" w:eastAsia="Arial" w:hAnsi="Arial" w:cs="Arial"/>
                <w:sz w:val="20"/>
                <w:szCs w:val="20"/>
              </w:rPr>
              <w:t>34-53-68</w:t>
            </w:r>
          </w:p>
        </w:tc>
        <w:tc>
          <w:tcPr>
            <w:tcW w:w="990" w:type="dxa"/>
            <w:vMerge w:val="restart"/>
            <w:vAlign w:val="center"/>
          </w:tcPr>
          <w:p w14:paraId="6B2B563B"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WGS</w:t>
            </w:r>
          </w:p>
        </w:tc>
        <w:tc>
          <w:tcPr>
            <w:tcW w:w="2700" w:type="dxa"/>
            <w:vMerge w:val="restart"/>
            <w:vAlign w:val="center"/>
          </w:tcPr>
          <w:p w14:paraId="7897F62A"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Illumina </w:t>
            </w:r>
            <w:proofErr w:type="spellStart"/>
            <w:r w:rsidRPr="00070601">
              <w:rPr>
                <w:rFonts w:ascii="Arial" w:eastAsia="Arial" w:hAnsi="Arial" w:cs="Arial"/>
                <w:sz w:val="20"/>
                <w:szCs w:val="20"/>
              </w:rPr>
              <w:t>HiSeq</w:t>
            </w:r>
            <w:proofErr w:type="spellEnd"/>
            <w:r w:rsidRPr="00070601">
              <w:rPr>
                <w:rFonts w:ascii="Arial" w:eastAsia="Arial" w:hAnsi="Arial" w:cs="Arial"/>
                <w:sz w:val="20"/>
                <w:szCs w:val="20"/>
              </w:rPr>
              <w:t xml:space="preserve"> 2500</w:t>
            </w:r>
          </w:p>
        </w:tc>
        <w:tc>
          <w:tcPr>
            <w:tcW w:w="3420" w:type="dxa"/>
            <w:vAlign w:val="center"/>
          </w:tcPr>
          <w:p w14:paraId="78CB9646"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PRISM cohort:</w:t>
            </w:r>
            <w:r w:rsidRPr="00070601">
              <w:rPr>
                <w:rFonts w:ascii="Arial" w:eastAsia="Arial" w:hAnsi="Arial" w:cs="Arial"/>
                <w:sz w:val="20"/>
                <w:szCs w:val="20"/>
              </w:rPr>
              <w:br/>
              <w:t>16,222,955 (621,560 – 70,940,336)</w:t>
            </w:r>
          </w:p>
        </w:tc>
      </w:tr>
      <w:tr w:rsidR="00625581" w14:paraId="7F77878C" w14:textId="77777777" w:rsidTr="000D055E">
        <w:trPr>
          <w:trHeight w:val="404"/>
        </w:trPr>
        <w:tc>
          <w:tcPr>
            <w:tcW w:w="1885" w:type="dxa"/>
            <w:vMerge/>
            <w:vAlign w:val="center"/>
          </w:tcPr>
          <w:p w14:paraId="007BB476"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1260" w:type="dxa"/>
            <w:vMerge/>
            <w:vAlign w:val="center"/>
          </w:tcPr>
          <w:p w14:paraId="24C6D0C3"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1350" w:type="dxa"/>
          </w:tcPr>
          <w:p w14:paraId="7A437DAA" w14:textId="77777777" w:rsidR="00625581" w:rsidRPr="00FE612E" w:rsidRDefault="00625581" w:rsidP="000D055E">
            <w:pPr>
              <w:widowControl w:val="0"/>
              <w:pBdr>
                <w:top w:val="nil"/>
                <w:left w:val="nil"/>
                <w:bottom w:val="nil"/>
                <w:right w:val="nil"/>
                <w:between w:val="nil"/>
              </w:pBdr>
              <w:spacing w:line="276" w:lineRule="auto"/>
              <w:rPr>
                <w:rFonts w:ascii="Arial" w:eastAsia="Arial" w:hAnsi="Arial" w:cs="Arial"/>
                <w:sz w:val="20"/>
                <w:szCs w:val="20"/>
              </w:rPr>
            </w:pPr>
            <w:r w:rsidRPr="00FE612E">
              <w:rPr>
                <w:rFonts w:ascii="Arial" w:eastAsia="Arial" w:hAnsi="Arial" w:cs="Arial"/>
                <w:sz w:val="20"/>
                <w:szCs w:val="20"/>
              </w:rPr>
              <w:t>22-23-20</w:t>
            </w:r>
          </w:p>
          <w:p w14:paraId="0A38CA46" w14:textId="77777777" w:rsidR="00625581" w:rsidRPr="000F1371"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990" w:type="dxa"/>
            <w:vMerge/>
            <w:vAlign w:val="center"/>
          </w:tcPr>
          <w:p w14:paraId="3FB4A3B1"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2700" w:type="dxa"/>
            <w:vMerge/>
            <w:vAlign w:val="center"/>
          </w:tcPr>
          <w:p w14:paraId="0FF882FD"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3420" w:type="dxa"/>
            <w:vAlign w:val="center"/>
          </w:tcPr>
          <w:p w14:paraId="4BC5D48A" w14:textId="77777777" w:rsidR="00625581" w:rsidRPr="000D055E" w:rsidRDefault="00625581" w:rsidP="000D055E">
            <w:pPr>
              <w:spacing w:line="360" w:lineRule="auto"/>
              <w:rPr>
                <w:rFonts w:ascii="Arial" w:eastAsia="Arial" w:hAnsi="Arial" w:cs="Arial"/>
                <w:sz w:val="20"/>
                <w:szCs w:val="20"/>
              </w:rPr>
            </w:pPr>
            <w:r w:rsidRPr="000D055E">
              <w:rPr>
                <w:rFonts w:ascii="Arial" w:eastAsia="Arial" w:hAnsi="Arial" w:cs="Arial"/>
                <w:sz w:val="20"/>
                <w:szCs w:val="20"/>
              </w:rPr>
              <w:t>Netherlands cohort:</w:t>
            </w:r>
            <w:r w:rsidRPr="000D055E">
              <w:rPr>
                <w:rFonts w:ascii="Arial" w:eastAsia="Arial" w:hAnsi="Arial" w:cs="Arial"/>
                <w:sz w:val="20"/>
                <w:szCs w:val="20"/>
              </w:rPr>
              <w:br/>
              <w:t>11,432,383 (2,044,104 – 29,863,893)</w:t>
            </w:r>
          </w:p>
        </w:tc>
      </w:tr>
      <w:tr w:rsidR="00625581" w14:paraId="0DF2F675" w14:textId="77777777" w:rsidTr="000D055E">
        <w:tc>
          <w:tcPr>
            <w:tcW w:w="1885" w:type="dxa"/>
            <w:vAlign w:val="center"/>
          </w:tcPr>
          <w:p w14:paraId="279808C3"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PRJNA368966_2017</w:t>
            </w:r>
          </w:p>
        </w:tc>
        <w:tc>
          <w:tcPr>
            <w:tcW w:w="1260" w:type="dxa"/>
            <w:vAlign w:val="center"/>
          </w:tcPr>
          <w:p w14:paraId="0E94E0E8"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Stool</w:t>
            </w:r>
          </w:p>
        </w:tc>
        <w:tc>
          <w:tcPr>
            <w:tcW w:w="1350" w:type="dxa"/>
          </w:tcPr>
          <w:p w14:paraId="0084E360" w14:textId="77777777" w:rsidR="00625581" w:rsidRPr="000F1371" w:rsidRDefault="00625581" w:rsidP="000D055E">
            <w:pPr>
              <w:spacing w:line="360" w:lineRule="auto"/>
              <w:rPr>
                <w:rFonts w:ascii="Arial" w:eastAsia="Arial" w:hAnsi="Arial" w:cs="Arial"/>
                <w:sz w:val="20"/>
                <w:szCs w:val="20"/>
              </w:rPr>
            </w:pPr>
            <w:r w:rsidRPr="005A70F7">
              <w:rPr>
                <w:rFonts w:ascii="Arial" w:eastAsia="Arial" w:hAnsi="Arial" w:cs="Arial"/>
                <w:sz w:val="20"/>
                <w:szCs w:val="20"/>
              </w:rPr>
              <w:t>32-33-0</w:t>
            </w:r>
          </w:p>
        </w:tc>
        <w:tc>
          <w:tcPr>
            <w:tcW w:w="990" w:type="dxa"/>
            <w:vAlign w:val="center"/>
          </w:tcPr>
          <w:p w14:paraId="05138B1B"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V3-V4</w:t>
            </w:r>
          </w:p>
        </w:tc>
        <w:tc>
          <w:tcPr>
            <w:tcW w:w="2700" w:type="dxa"/>
            <w:vAlign w:val="center"/>
          </w:tcPr>
          <w:p w14:paraId="59CC4B3F"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Illumina </w:t>
            </w:r>
            <w:proofErr w:type="spellStart"/>
            <w:r w:rsidRPr="00070601">
              <w:rPr>
                <w:rFonts w:ascii="Arial" w:eastAsia="Arial" w:hAnsi="Arial" w:cs="Arial"/>
                <w:sz w:val="20"/>
                <w:szCs w:val="20"/>
              </w:rPr>
              <w:t>MiSeq</w:t>
            </w:r>
            <w:proofErr w:type="spellEnd"/>
          </w:p>
        </w:tc>
        <w:tc>
          <w:tcPr>
            <w:tcW w:w="3420" w:type="dxa"/>
            <w:vAlign w:val="center"/>
          </w:tcPr>
          <w:p w14:paraId="0D6F9D51"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37,508 (1,488 – 84,463)</w:t>
            </w:r>
          </w:p>
        </w:tc>
      </w:tr>
      <w:tr w:rsidR="00625581" w14:paraId="25E32636" w14:textId="77777777" w:rsidTr="000D055E">
        <w:trPr>
          <w:trHeight w:val="405"/>
        </w:trPr>
        <w:tc>
          <w:tcPr>
            <w:tcW w:w="1885" w:type="dxa"/>
            <w:vMerge w:val="restart"/>
            <w:vAlign w:val="center"/>
          </w:tcPr>
          <w:p w14:paraId="3CE5ABAA"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Morgan_2012</w:t>
            </w:r>
            <w:r>
              <w:rPr>
                <w:rFonts w:ascii="Arial" w:eastAsia="Arial" w:hAnsi="Arial" w:cs="Arial"/>
                <w:sz w:val="20"/>
                <w:szCs w:val="20"/>
              </w:rPr>
              <w:t xml:space="preserve"> </w:t>
            </w:r>
            <w:r>
              <w:rPr>
                <w:rFonts w:ascii="Arial" w:eastAsia="Arial" w:hAnsi="Arial" w:cs="Arial"/>
                <w:sz w:val="20"/>
                <w:szCs w:val="20"/>
              </w:rPr>
              <w:fldChar w:fldCharType="begin"/>
            </w:r>
            <w:r>
              <w:rPr>
                <w:rFonts w:ascii="Arial" w:eastAsia="Arial" w:hAnsi="Arial" w:cs="Arial"/>
                <w:sz w:val="20"/>
                <w:szCs w:val="20"/>
              </w:rPr>
              <w:instrText xml:space="preserve"> ADDIN ZOTERO_ITEM CSL_CITATION {"citationID":"a1l1koc2mdv","properties":{"formattedCitation":"(Morgan et al., 2012)","plainCitation":"(Morgan et al., 2012)","noteIndex":0},"citationItems":[{"id":460,"uris":["http://zotero.org/users/local/V6dRzw2J/items/H6WMTV4Q"],"itemData":{"id":460,"type":"article-journal","abstract":"BACKGROUND: The inflammatory bowel diseases (IBD) Crohn's disease and ulcerative colitis result from alterations in intestinal microbes and the immune system. However, the precise dysfunctions of microbial metabolism in the gastrointestinal microbiome during IBD remain unclear. We analyzed the microbiota of intestinal biopsies and stool samples from 231 IBD and healthy subjects by 16S gene pyrosequencing and followed up a subset using shotgun metagenomics. Gene and pathway composition were assessed, based on 16S data from phylogenetically-related reference genomes, and associated using sparse multivariate linear modeling with medications, environmental factors, and IBD status.\nRESULTS: Firmicutes and Enterobacteriaceae abundances were associated with disease status as expected, but also with treatment and subject characteristics. Microbial function, though, was more consistently perturbed than composition, with 12% of analyzed pathways changed compared with 2% of genera. We identified major shifts in oxidative stress pathways, as well as decreased carbohydrate metabolism and amino acid biosynthesis in favor of nutrient transport and uptake. The microbiome of ileal Crohn's disease was notable for increases in virulence and secretion pathways.\nCONCLUSIONS: This inferred functional metagenomic information provides the first insights into community-wide microbial processes and pathways that underpin IBD pathogenesis.","container-title":"Genome Biology","DOI":"10.1186/gb-2012-13-9-r79","ISSN":"1474-760X","issue":"9","journalAbbreviation":"Genome Biol","language":"eng","note":"PMID: 23013615\nPMCID: PMC3506950","page":"R79","source":"PubMed","title":"Dysfunction of the intestinal microbiome in inflammatory bowel disease and treatment","volume":"13","author":[{"family":"Morgan","given":"Xochitl C."},{"family":"Tickle","given":"Timothy L."},{"family":"Sokol","given":"Harry"},{"family":"Gevers","given":"Dirk"},{"family":"Devaney","given":"Kathryn L."},{"family":"Ward","given":"Doyle V."},{"family":"Reyes","given":"Joshua A."},{"family":"Shah","given":"Samir A."},{"family":"LeLeiko","given":"Neal"},{"family":"Snapper","given":"Scott B."},{"family":"Bousvaros","given":"Athos"},{"family":"Korzenik","given":"Joshua"},{"family":"Sands","given":"Bruce E."},{"family":"Xavier","given":"Ramnik J."},{"family":"Huttenhower","given":"Curtis"}],"issued":{"date-parts":[["2012",4,16]]}}}],"schema":"https://github.com/citation-style-language/schema/raw/master/csl-citation.json"} </w:instrText>
            </w:r>
            <w:r>
              <w:rPr>
                <w:rFonts w:ascii="Arial" w:eastAsia="Arial" w:hAnsi="Arial" w:cs="Arial"/>
                <w:sz w:val="20"/>
                <w:szCs w:val="20"/>
              </w:rPr>
              <w:fldChar w:fldCharType="separate"/>
            </w:r>
            <w:r w:rsidRPr="005F6D64">
              <w:rPr>
                <w:rFonts w:ascii="Arial" w:hAnsi="Arial" w:cs="Arial"/>
                <w:sz w:val="20"/>
              </w:rPr>
              <w:t>(Morgan et al., 2012)</w:t>
            </w:r>
            <w:r>
              <w:rPr>
                <w:rFonts w:ascii="Arial" w:eastAsia="Arial" w:hAnsi="Arial" w:cs="Arial"/>
                <w:sz w:val="20"/>
                <w:szCs w:val="20"/>
              </w:rPr>
              <w:fldChar w:fldCharType="end"/>
            </w:r>
          </w:p>
        </w:tc>
        <w:tc>
          <w:tcPr>
            <w:tcW w:w="1260" w:type="dxa"/>
            <w:vAlign w:val="center"/>
          </w:tcPr>
          <w:p w14:paraId="51F76555"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Stool</w:t>
            </w:r>
          </w:p>
        </w:tc>
        <w:tc>
          <w:tcPr>
            <w:tcW w:w="1350" w:type="dxa"/>
          </w:tcPr>
          <w:p w14:paraId="1AF76026" w14:textId="77777777" w:rsidR="00625581" w:rsidRPr="000F1371" w:rsidRDefault="00625581" w:rsidP="000D055E">
            <w:pPr>
              <w:spacing w:line="360" w:lineRule="auto"/>
              <w:rPr>
                <w:rFonts w:ascii="Arial" w:eastAsia="Arial" w:hAnsi="Arial" w:cs="Arial"/>
                <w:sz w:val="20"/>
                <w:szCs w:val="20"/>
              </w:rPr>
            </w:pPr>
            <w:r w:rsidRPr="00F37260">
              <w:rPr>
                <w:rFonts w:ascii="Arial" w:eastAsia="Arial" w:hAnsi="Arial" w:cs="Arial"/>
                <w:sz w:val="20"/>
                <w:szCs w:val="20"/>
              </w:rPr>
              <w:t>19-48-63</w:t>
            </w:r>
          </w:p>
        </w:tc>
        <w:tc>
          <w:tcPr>
            <w:tcW w:w="990" w:type="dxa"/>
            <w:vMerge w:val="restart"/>
            <w:vAlign w:val="center"/>
          </w:tcPr>
          <w:p w14:paraId="1F30455C"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V3-V5</w:t>
            </w:r>
          </w:p>
        </w:tc>
        <w:tc>
          <w:tcPr>
            <w:tcW w:w="2700" w:type="dxa"/>
            <w:vMerge w:val="restart"/>
            <w:vAlign w:val="center"/>
          </w:tcPr>
          <w:p w14:paraId="19E18CB4"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color w:val="000000"/>
                <w:sz w:val="20"/>
                <w:szCs w:val="20"/>
                <w:highlight w:val="white"/>
              </w:rPr>
              <w:t>454 Genome Sequencer FLX Titanium</w:t>
            </w:r>
          </w:p>
        </w:tc>
        <w:tc>
          <w:tcPr>
            <w:tcW w:w="3420" w:type="dxa"/>
            <w:vAlign w:val="center"/>
          </w:tcPr>
          <w:p w14:paraId="7CDF844B" w14:textId="77777777" w:rsidR="00625581" w:rsidRPr="00070601" w:rsidRDefault="00625581" w:rsidP="000D055E">
            <w:pPr>
              <w:spacing w:line="360" w:lineRule="auto"/>
              <w:rPr>
                <w:rFonts w:ascii="Arial" w:eastAsia="Arial" w:hAnsi="Arial" w:cs="Arial"/>
                <w:color w:val="000000"/>
                <w:sz w:val="20"/>
                <w:szCs w:val="20"/>
                <w:highlight w:val="white"/>
              </w:rPr>
            </w:pPr>
            <w:r w:rsidRPr="00070601">
              <w:rPr>
                <w:rFonts w:ascii="Arial" w:eastAsia="Arial" w:hAnsi="Arial" w:cs="Arial"/>
                <w:color w:val="000000"/>
                <w:sz w:val="20"/>
                <w:szCs w:val="20"/>
                <w:highlight w:val="white"/>
              </w:rPr>
              <w:t>1,124.5 (12 – 2,563)</w:t>
            </w:r>
          </w:p>
        </w:tc>
      </w:tr>
      <w:tr w:rsidR="00625581" w14:paraId="363B2688" w14:textId="77777777" w:rsidTr="000D055E">
        <w:trPr>
          <w:trHeight w:val="404"/>
        </w:trPr>
        <w:tc>
          <w:tcPr>
            <w:tcW w:w="1885" w:type="dxa"/>
            <w:vMerge/>
            <w:vAlign w:val="center"/>
          </w:tcPr>
          <w:p w14:paraId="163DADED"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color w:val="000000"/>
                <w:sz w:val="20"/>
                <w:szCs w:val="20"/>
                <w:highlight w:val="white"/>
              </w:rPr>
            </w:pPr>
          </w:p>
        </w:tc>
        <w:tc>
          <w:tcPr>
            <w:tcW w:w="1260" w:type="dxa"/>
            <w:vAlign w:val="center"/>
          </w:tcPr>
          <w:p w14:paraId="57461B70" w14:textId="77777777" w:rsidR="00625581" w:rsidRPr="000D055E" w:rsidRDefault="00625581" w:rsidP="000D055E">
            <w:pPr>
              <w:spacing w:line="360" w:lineRule="auto"/>
              <w:rPr>
                <w:rFonts w:ascii="Arial" w:eastAsia="Arial" w:hAnsi="Arial" w:cs="Arial"/>
                <w:sz w:val="20"/>
                <w:szCs w:val="20"/>
              </w:rPr>
            </w:pPr>
            <w:r w:rsidRPr="000D055E">
              <w:rPr>
                <w:rFonts w:ascii="Arial" w:eastAsia="Arial" w:hAnsi="Arial" w:cs="Arial"/>
                <w:sz w:val="20"/>
                <w:szCs w:val="20"/>
              </w:rPr>
              <w:t>Mucosa</w:t>
            </w:r>
          </w:p>
        </w:tc>
        <w:tc>
          <w:tcPr>
            <w:tcW w:w="1350" w:type="dxa"/>
          </w:tcPr>
          <w:p w14:paraId="37977653" w14:textId="77777777" w:rsidR="00625581" w:rsidRPr="000F1371" w:rsidRDefault="00625581" w:rsidP="000D055E">
            <w:pPr>
              <w:widowControl w:val="0"/>
              <w:pBdr>
                <w:top w:val="nil"/>
                <w:left w:val="nil"/>
                <w:bottom w:val="nil"/>
                <w:right w:val="nil"/>
                <w:between w:val="nil"/>
              </w:pBdr>
              <w:spacing w:line="276" w:lineRule="auto"/>
              <w:rPr>
                <w:rFonts w:ascii="Arial" w:eastAsia="Arial" w:hAnsi="Arial" w:cs="Arial"/>
                <w:sz w:val="20"/>
                <w:szCs w:val="20"/>
              </w:rPr>
            </w:pPr>
            <w:r w:rsidRPr="005A70F7">
              <w:rPr>
                <w:rFonts w:ascii="Arial" w:eastAsia="Arial" w:hAnsi="Arial" w:cs="Arial"/>
                <w:sz w:val="20"/>
                <w:szCs w:val="20"/>
              </w:rPr>
              <w:t>9-27-34</w:t>
            </w:r>
          </w:p>
        </w:tc>
        <w:tc>
          <w:tcPr>
            <w:tcW w:w="990" w:type="dxa"/>
            <w:vMerge/>
            <w:vAlign w:val="center"/>
          </w:tcPr>
          <w:p w14:paraId="48A31170"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2700" w:type="dxa"/>
            <w:vMerge/>
            <w:vAlign w:val="center"/>
          </w:tcPr>
          <w:p w14:paraId="32E0D3E0"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3420" w:type="dxa"/>
            <w:vAlign w:val="center"/>
          </w:tcPr>
          <w:p w14:paraId="762CF836" w14:textId="77777777" w:rsidR="00625581" w:rsidRPr="000D055E" w:rsidRDefault="00625581" w:rsidP="000D055E">
            <w:pPr>
              <w:spacing w:line="360" w:lineRule="auto"/>
              <w:rPr>
                <w:rFonts w:ascii="Arial" w:eastAsia="Arial" w:hAnsi="Arial" w:cs="Arial"/>
                <w:color w:val="000000"/>
                <w:sz w:val="20"/>
                <w:szCs w:val="20"/>
                <w:highlight w:val="white"/>
              </w:rPr>
            </w:pPr>
            <w:r w:rsidRPr="000D055E">
              <w:rPr>
                <w:rFonts w:ascii="Arial" w:eastAsia="Arial" w:hAnsi="Arial" w:cs="Arial"/>
                <w:color w:val="000000"/>
                <w:sz w:val="20"/>
                <w:szCs w:val="20"/>
                <w:highlight w:val="white"/>
              </w:rPr>
              <w:t>744 (39 – 5,652)</w:t>
            </w:r>
          </w:p>
        </w:tc>
      </w:tr>
      <w:tr w:rsidR="00625581" w14:paraId="3E563586" w14:textId="77777777" w:rsidTr="000D055E">
        <w:trPr>
          <w:trHeight w:val="405"/>
        </w:trPr>
        <w:tc>
          <w:tcPr>
            <w:tcW w:w="1885" w:type="dxa"/>
            <w:vMerge w:val="restart"/>
            <w:vAlign w:val="center"/>
          </w:tcPr>
          <w:p w14:paraId="1641ED13"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Lloyd-Price_2015</w:t>
            </w:r>
            <w:r>
              <w:rPr>
                <w:rFonts w:ascii="Arial" w:eastAsia="Arial" w:hAnsi="Arial" w:cs="Arial"/>
                <w:sz w:val="20"/>
                <w:szCs w:val="20"/>
              </w:rPr>
              <w:t xml:space="preserve"> </w:t>
            </w:r>
            <w:proofErr w:type="spellStart"/>
            <w:r>
              <w:rPr>
                <w:rFonts w:ascii="Arial" w:eastAsia="Arial" w:hAnsi="Arial" w:cs="Arial"/>
                <w:sz w:val="20"/>
                <w:szCs w:val="20"/>
              </w:rPr>
              <w:t>dbGaP</w:t>
            </w:r>
            <w:proofErr w:type="spellEnd"/>
            <w:r>
              <w:rPr>
                <w:rFonts w:ascii="Arial" w:eastAsia="Arial" w:hAnsi="Arial" w:cs="Arial"/>
                <w:sz w:val="20"/>
                <w:szCs w:val="20"/>
              </w:rPr>
              <w:t xml:space="preserve"> </w:t>
            </w:r>
            <w:r w:rsidRPr="002D74B0">
              <w:rPr>
                <w:rFonts w:ascii="Arial" w:eastAsia="Arial" w:hAnsi="Arial" w:cs="Arial"/>
                <w:sz w:val="20"/>
                <w:szCs w:val="20"/>
              </w:rPr>
              <w:t>phs001626.v1.p1</w:t>
            </w:r>
          </w:p>
        </w:tc>
        <w:tc>
          <w:tcPr>
            <w:tcW w:w="1260" w:type="dxa"/>
            <w:vAlign w:val="center"/>
          </w:tcPr>
          <w:p w14:paraId="7A30B82F"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Stool</w:t>
            </w:r>
          </w:p>
        </w:tc>
        <w:tc>
          <w:tcPr>
            <w:tcW w:w="1350" w:type="dxa"/>
          </w:tcPr>
          <w:p w14:paraId="3A16CB73" w14:textId="77777777" w:rsidR="00625581" w:rsidRPr="000F1371" w:rsidRDefault="00625581" w:rsidP="000D055E">
            <w:pPr>
              <w:spacing w:line="360" w:lineRule="auto"/>
              <w:rPr>
                <w:rFonts w:ascii="Arial" w:eastAsia="Arial" w:hAnsi="Arial" w:cs="Arial"/>
                <w:sz w:val="20"/>
                <w:szCs w:val="20"/>
              </w:rPr>
            </w:pPr>
            <w:r w:rsidRPr="00F37260">
              <w:rPr>
                <w:rFonts w:ascii="Arial" w:eastAsia="Arial" w:hAnsi="Arial" w:cs="Arial"/>
                <w:sz w:val="20"/>
                <w:szCs w:val="20"/>
              </w:rPr>
              <w:t>36-48-92</w:t>
            </w:r>
          </w:p>
        </w:tc>
        <w:tc>
          <w:tcPr>
            <w:tcW w:w="990" w:type="dxa"/>
            <w:vAlign w:val="center"/>
          </w:tcPr>
          <w:p w14:paraId="1787D5AB"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WGS</w:t>
            </w:r>
          </w:p>
        </w:tc>
        <w:tc>
          <w:tcPr>
            <w:tcW w:w="2700" w:type="dxa"/>
            <w:vAlign w:val="center"/>
          </w:tcPr>
          <w:p w14:paraId="511CC142"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Illumina </w:t>
            </w:r>
            <w:proofErr w:type="spellStart"/>
            <w:r w:rsidRPr="00070601">
              <w:rPr>
                <w:rFonts w:ascii="Arial" w:eastAsia="Arial" w:hAnsi="Arial" w:cs="Arial"/>
                <w:sz w:val="20"/>
                <w:szCs w:val="20"/>
              </w:rPr>
              <w:t>HiSeq</w:t>
            </w:r>
            <w:proofErr w:type="spellEnd"/>
            <w:r w:rsidRPr="00070601">
              <w:rPr>
                <w:rFonts w:ascii="Arial" w:eastAsia="Arial" w:hAnsi="Arial" w:cs="Arial"/>
                <w:sz w:val="20"/>
                <w:szCs w:val="20"/>
              </w:rPr>
              <w:t xml:space="preserve"> 2000</w:t>
            </w:r>
          </w:p>
        </w:tc>
        <w:tc>
          <w:tcPr>
            <w:tcW w:w="3420" w:type="dxa"/>
            <w:vAlign w:val="center"/>
          </w:tcPr>
          <w:p w14:paraId="572EED66"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16,800,769.5 (651,795 – 29,128,040)</w:t>
            </w:r>
          </w:p>
        </w:tc>
      </w:tr>
      <w:tr w:rsidR="00625581" w14:paraId="385D11D2" w14:textId="77777777" w:rsidTr="000D055E">
        <w:trPr>
          <w:trHeight w:val="404"/>
        </w:trPr>
        <w:tc>
          <w:tcPr>
            <w:tcW w:w="1885" w:type="dxa"/>
            <w:vMerge/>
            <w:vAlign w:val="center"/>
          </w:tcPr>
          <w:p w14:paraId="0C503CDC"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1260" w:type="dxa"/>
            <w:vAlign w:val="center"/>
          </w:tcPr>
          <w:p w14:paraId="7D3B7BF7" w14:textId="77777777" w:rsidR="00625581" w:rsidRPr="000D055E" w:rsidRDefault="00625581" w:rsidP="000D055E">
            <w:pPr>
              <w:spacing w:line="360" w:lineRule="auto"/>
              <w:rPr>
                <w:rFonts w:ascii="Arial" w:eastAsia="Arial" w:hAnsi="Arial" w:cs="Arial"/>
                <w:sz w:val="20"/>
                <w:szCs w:val="20"/>
              </w:rPr>
            </w:pPr>
            <w:r w:rsidRPr="000D055E">
              <w:rPr>
                <w:rFonts w:ascii="Arial" w:eastAsia="Arial" w:hAnsi="Arial" w:cs="Arial"/>
                <w:sz w:val="20"/>
                <w:szCs w:val="20"/>
              </w:rPr>
              <w:t>Mucosa</w:t>
            </w:r>
          </w:p>
        </w:tc>
        <w:tc>
          <w:tcPr>
            <w:tcW w:w="1350" w:type="dxa"/>
          </w:tcPr>
          <w:p w14:paraId="6E0FADD6" w14:textId="77777777" w:rsidR="00625581" w:rsidRPr="000F1371" w:rsidRDefault="00625581" w:rsidP="000D055E">
            <w:pPr>
              <w:spacing w:line="360" w:lineRule="auto"/>
              <w:rPr>
                <w:rFonts w:ascii="Arial" w:eastAsia="Arial" w:hAnsi="Arial" w:cs="Arial"/>
                <w:sz w:val="20"/>
                <w:szCs w:val="20"/>
              </w:rPr>
            </w:pPr>
            <w:r w:rsidRPr="00F37260">
              <w:rPr>
                <w:rFonts w:ascii="Arial" w:eastAsia="Arial" w:hAnsi="Arial" w:cs="Arial"/>
                <w:sz w:val="20"/>
                <w:szCs w:val="20"/>
              </w:rPr>
              <w:t>22-22-36</w:t>
            </w:r>
          </w:p>
        </w:tc>
        <w:tc>
          <w:tcPr>
            <w:tcW w:w="990" w:type="dxa"/>
            <w:vAlign w:val="center"/>
          </w:tcPr>
          <w:p w14:paraId="6A8CD55D"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V4</w:t>
            </w:r>
          </w:p>
        </w:tc>
        <w:tc>
          <w:tcPr>
            <w:tcW w:w="2700" w:type="dxa"/>
            <w:vAlign w:val="center"/>
          </w:tcPr>
          <w:p w14:paraId="37E23CE8"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Illumina </w:t>
            </w:r>
            <w:proofErr w:type="spellStart"/>
            <w:r w:rsidRPr="00070601">
              <w:rPr>
                <w:rFonts w:ascii="Arial" w:eastAsia="Arial" w:hAnsi="Arial" w:cs="Arial"/>
                <w:sz w:val="20"/>
                <w:szCs w:val="20"/>
              </w:rPr>
              <w:t>MiSeq</w:t>
            </w:r>
            <w:proofErr w:type="spellEnd"/>
          </w:p>
        </w:tc>
        <w:tc>
          <w:tcPr>
            <w:tcW w:w="3420" w:type="dxa"/>
            <w:vAlign w:val="center"/>
          </w:tcPr>
          <w:p w14:paraId="7D476E3D"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27,487 (924 – 52,466)</w:t>
            </w:r>
          </w:p>
        </w:tc>
      </w:tr>
      <w:tr w:rsidR="00625581" w14:paraId="564FC8F4" w14:textId="77777777" w:rsidTr="000D055E">
        <w:tc>
          <w:tcPr>
            <w:tcW w:w="1885" w:type="dxa"/>
            <w:vAlign w:val="center"/>
          </w:tcPr>
          <w:p w14:paraId="65818246"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Davenport_2011</w:t>
            </w:r>
            <w:r>
              <w:rPr>
                <w:rFonts w:ascii="Arial" w:eastAsia="Arial" w:hAnsi="Arial" w:cs="Arial"/>
                <w:sz w:val="20"/>
                <w:szCs w:val="20"/>
              </w:rPr>
              <w:t xml:space="preserve"> </w:t>
            </w:r>
            <w:r>
              <w:rPr>
                <w:rFonts w:ascii="Arial" w:eastAsia="Arial" w:hAnsi="Arial" w:cs="Arial"/>
                <w:sz w:val="20"/>
                <w:szCs w:val="20"/>
              </w:rPr>
              <w:fldChar w:fldCharType="begin"/>
            </w:r>
            <w:r>
              <w:rPr>
                <w:rFonts w:ascii="Arial" w:eastAsia="Arial" w:hAnsi="Arial" w:cs="Arial"/>
                <w:sz w:val="20"/>
                <w:szCs w:val="20"/>
              </w:rPr>
              <w:instrText xml:space="preserve"> ADDIN ZOTERO_ITEM CSL_CITATION {"citationID":"a27popedi7b","properties":{"formattedCitation":"(Davenport et al., 2014)","plainCitation":"(Davenport et al., 2014)","noteIndex":0},"citationItems":[{"id":463,"uris":["http://zotero.org/users/local/V6dRzw2J/items/4U8RD9IT"],"itemData":{"id":463,"type":"article-journal","abstract":"BACKGROUND: Inflammation during inflammatory bowel disease may alter nutrient availability to adherent mucosal bacteria and impact their metabolic function. Microbial metabolites may regulate intestinal CD4 T-cell homeostasis. We investigated the relationship between inflammation and microbial function by inferred metagenomics of the mucosal microbiota from colonic pinch biopsies of patients with inflammatory bowel disease.\nMETHODS: Paired pinch biopsy samples of known inflammation states were analyzed from ulcerative colitis (UC) (23), Crohn's disease (CD) (21), and control (24) subjects by 16S ribosomal sequencing, histopathologic assessment, and flow cytometry. PICRUSt was used to generate metagenomic data and derive relative Kyoto Encyclopedia of Genes and Genomes Pathway abundance information. Leukocytes were isolated from paired biopsy samples and analyzed by multicolor flow cytometry. Active inflammation was defined by neutrophil infiltration into the epithelium.\nRESULTS: Carriage of metabolic pathways in the mucosal microbiota was relatively stable among patients with inflammatory bowel disease, despite large variations in individual bacterial community structures. However, microbial function was significantly altered in inflamed tissue of UC patients, with a reduction in carbohydrate and nucleotide metabolism in favor of increased lipid and amino acid metabolism. These differences were not observed in samples from CD patients. In CD, microbial lipid, carbohydrate, and amino acid metabolism tightly correlated with the frequency of CD4Foxp3 Tregs, whereas in UC, these pathways correlated with the frequency of CD4IL-22 (TH22) cells.\nCONCLUSIONS: Metabolic pathways of the mucosal microbiota in CD do not vary as much as UC with inflammation state, indicating a more systemic perturbation of host-bacteria interactions in CD compared with more localized dysfunction in UC.","container-title":"Inflammatory Bowel Diseases","DOI":"10.1097/MIB.0000000000000011","ISSN":"1536-4844","issue":"4","journalAbbreviation":"Inflamm Bowel Dis","language":"eng","note":"PMID: 24583479\nPMCID: PMC4158619","page":"723-731","source":"PubMed","title":"Metabolic alterations to the mucosal microbiota in inflammatory bowel disease","volume":"20","author":[{"family":"Davenport","given":"Michael"},{"family":"Poles","given":"Jordan"},{"family":"Leung","given":"Jacqueline M."},{"family":"Wolff","given":"Martin J."},{"family":"Abidi","given":"Wasif M."},{"family":"Ullman","given":"Thomas"},{"family":"Mayer","given":"Lloyd"},{"family":"Cho","given":"Ilseung"},{"family":"Loke","given":"P'ng"}],"issued":{"date-parts":[["2014",4]]}}}],"schema":"https://github.com/citation-style-language/schema/raw/master/csl-citation.json"} </w:instrText>
            </w:r>
            <w:r>
              <w:rPr>
                <w:rFonts w:ascii="Arial" w:eastAsia="Arial" w:hAnsi="Arial" w:cs="Arial"/>
                <w:sz w:val="20"/>
                <w:szCs w:val="20"/>
              </w:rPr>
              <w:fldChar w:fldCharType="separate"/>
            </w:r>
            <w:r w:rsidRPr="005F6D64">
              <w:rPr>
                <w:rFonts w:ascii="Arial" w:hAnsi="Arial" w:cs="Arial"/>
                <w:sz w:val="20"/>
              </w:rPr>
              <w:t>(Davenport et al., 2014)</w:t>
            </w:r>
            <w:r>
              <w:rPr>
                <w:rFonts w:ascii="Arial" w:eastAsia="Arial" w:hAnsi="Arial" w:cs="Arial"/>
                <w:sz w:val="20"/>
                <w:szCs w:val="20"/>
              </w:rPr>
              <w:fldChar w:fldCharType="end"/>
            </w:r>
          </w:p>
        </w:tc>
        <w:tc>
          <w:tcPr>
            <w:tcW w:w="1260" w:type="dxa"/>
            <w:vAlign w:val="center"/>
          </w:tcPr>
          <w:p w14:paraId="346FA13B"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Mucosa</w:t>
            </w:r>
          </w:p>
        </w:tc>
        <w:tc>
          <w:tcPr>
            <w:tcW w:w="1350" w:type="dxa"/>
          </w:tcPr>
          <w:p w14:paraId="39891A31" w14:textId="77777777" w:rsidR="00625581" w:rsidRPr="000F1371" w:rsidRDefault="00625581" w:rsidP="000D055E">
            <w:pPr>
              <w:spacing w:line="360" w:lineRule="auto"/>
              <w:rPr>
                <w:rFonts w:ascii="Arial" w:eastAsia="Arial" w:hAnsi="Arial" w:cs="Arial"/>
                <w:sz w:val="20"/>
                <w:szCs w:val="20"/>
              </w:rPr>
            </w:pPr>
            <w:r w:rsidRPr="000D706B">
              <w:rPr>
                <w:rFonts w:ascii="Arial" w:eastAsia="Arial" w:hAnsi="Arial" w:cs="Arial"/>
                <w:sz w:val="20"/>
                <w:szCs w:val="20"/>
              </w:rPr>
              <w:t>27-14-13</w:t>
            </w:r>
          </w:p>
        </w:tc>
        <w:tc>
          <w:tcPr>
            <w:tcW w:w="990" w:type="dxa"/>
            <w:vAlign w:val="center"/>
          </w:tcPr>
          <w:p w14:paraId="5BBEA7C2"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V4</w:t>
            </w:r>
          </w:p>
        </w:tc>
        <w:tc>
          <w:tcPr>
            <w:tcW w:w="2700" w:type="dxa"/>
            <w:vAlign w:val="center"/>
          </w:tcPr>
          <w:p w14:paraId="3C36B523"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Illumina </w:t>
            </w:r>
            <w:proofErr w:type="spellStart"/>
            <w:r w:rsidRPr="00070601">
              <w:rPr>
                <w:rFonts w:ascii="Arial" w:eastAsia="Arial" w:hAnsi="Arial" w:cs="Arial"/>
                <w:sz w:val="20"/>
                <w:szCs w:val="20"/>
              </w:rPr>
              <w:t>MiSeq</w:t>
            </w:r>
            <w:proofErr w:type="spellEnd"/>
          </w:p>
        </w:tc>
        <w:tc>
          <w:tcPr>
            <w:tcW w:w="3420" w:type="dxa"/>
            <w:vAlign w:val="center"/>
          </w:tcPr>
          <w:p w14:paraId="19CFDCA1"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7,764.5 (234 – 14,827)</w:t>
            </w:r>
          </w:p>
        </w:tc>
      </w:tr>
      <w:tr w:rsidR="00625581" w14:paraId="4496F442" w14:textId="77777777" w:rsidTr="000D055E">
        <w:tc>
          <w:tcPr>
            <w:tcW w:w="1885" w:type="dxa"/>
            <w:vAlign w:val="center"/>
          </w:tcPr>
          <w:p w14:paraId="4DDD28E2"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lastRenderedPageBreak/>
              <w:t>Halfvarson_2017</w:t>
            </w:r>
            <w:r>
              <w:rPr>
                <w:rFonts w:ascii="Arial" w:eastAsia="Arial" w:hAnsi="Arial" w:cs="Arial"/>
                <w:sz w:val="20"/>
                <w:szCs w:val="20"/>
              </w:rPr>
              <w:t xml:space="preserve"> </w:t>
            </w:r>
            <w:r>
              <w:rPr>
                <w:rFonts w:ascii="Arial" w:eastAsia="Arial" w:hAnsi="Arial" w:cs="Arial"/>
                <w:sz w:val="20"/>
                <w:szCs w:val="20"/>
              </w:rPr>
              <w:fldChar w:fldCharType="begin"/>
            </w:r>
            <w:r>
              <w:rPr>
                <w:rFonts w:ascii="Arial" w:eastAsia="Arial" w:hAnsi="Arial" w:cs="Arial"/>
                <w:sz w:val="20"/>
                <w:szCs w:val="20"/>
              </w:rPr>
              <w:instrText xml:space="preserve"> ADDIN ZOTERO_ITEM CSL_CITATION {"citationID":"afqfdn7dr3","properties":{"formattedCitation":"(Halfvarson et al., 2017)","plainCitation":"(Halfvarson et al., 2017)","noteIndex":0},"citationItems":[{"id":466,"uris":["http://zotero.org/users/local/V6dRzw2J/items/FK58ECIK"],"itemData":{"id":466,"type":"article-journal","abstract":"Inflammatory bowel disease (IBD) is characterized by flares of inflammation with a periodic need for increased medication and sometimes even surgery. The aetiology of IBD is partly attributed to a deregulated immune response to gut microbiome dysbiosis. Cross-sectional studies have revealed microbial signatures for different IBD subtypes, including ulcerative colitis, colonic Crohn's disease and ileal Crohn's disease. Although IBD is dynamic, microbiome studies have primarily focused on single time points or a few individuals. Here, we dissect the long-term dynamic behaviour of the gut microbiome in IBD and differentiate this from normal variation. Microbiomes of IBD subjects fluctuate more than those of healthy individuals, based on deviation from a newly defined healthy plane (HP). Ileal Crohn's disease subjects deviated most from the HP, especially subjects with surgical resection. Intriguingly, the microbiomes of some IBD subjects periodically visited the HP then deviated away from it. Inflammation was not directly correlated with distance to the healthy plane, but there was some correlation between observed dramatic fluctuations in the gut microbiome and intensified medication due to a flare of the disease. These results will help guide therapies that will redirect the gut microbiome towards a healthy state and maintain remission in IBD.","container-title":"Nature Microbiology","DOI":"10.1038/nmicrobiol.2017.4","ISSN":"2058-5276","journalAbbreviation":"Nat Microbiol","language":"eng","note":"PMID: 28191884\nPMCID: PMC5319707","page":"17004","source":"PubMed","title":"Dynamics of the human gut microbiome in inflammatory bowel disease","volume":"2","author":[{"family":"Halfvarson","given":"Jonas"},{"family":"Brislawn","given":"Colin J."},{"family":"Lamendella","given":"Regina"},{"family":"Vázquez-Baeza","given":"Yoshiki"},{"family":"Walters","given":"William A."},{"family":"Bramer","given":"Lisa M."},{"family":"D'Amato","given":"Mauro"},{"family":"Bonfiglio","given":"Ferdinando"},{"family":"McDonald","given":"Daniel"},{"family":"Gonzalez","given":"Antonio"},{"family":"McClure","given":"Erin E."},{"family":"Dunklebarger","given":"Mitchell F."},{"family":"Knight","given":"Rob"},{"family":"Jansson","given":"Janet K."}],"issued":{"date-parts":[["2017",2,13]]}}}],"schema":"https://github.com/citation-style-language/schema/raw/master/csl-citation.json"} </w:instrText>
            </w:r>
            <w:r>
              <w:rPr>
                <w:rFonts w:ascii="Arial" w:eastAsia="Arial" w:hAnsi="Arial" w:cs="Arial"/>
                <w:sz w:val="20"/>
                <w:szCs w:val="20"/>
              </w:rPr>
              <w:fldChar w:fldCharType="separate"/>
            </w:r>
            <w:r w:rsidRPr="005F6D64">
              <w:rPr>
                <w:rFonts w:ascii="Arial" w:hAnsi="Arial" w:cs="Arial"/>
                <w:sz w:val="20"/>
              </w:rPr>
              <w:t>(</w:t>
            </w:r>
            <w:proofErr w:type="spellStart"/>
            <w:r w:rsidRPr="005F6D64">
              <w:rPr>
                <w:rFonts w:ascii="Arial" w:hAnsi="Arial" w:cs="Arial"/>
                <w:sz w:val="20"/>
              </w:rPr>
              <w:t>Halfvarson</w:t>
            </w:r>
            <w:proofErr w:type="spellEnd"/>
            <w:r w:rsidRPr="005F6D64">
              <w:rPr>
                <w:rFonts w:ascii="Arial" w:hAnsi="Arial" w:cs="Arial"/>
                <w:sz w:val="20"/>
              </w:rPr>
              <w:t xml:space="preserve"> et al., 2017)</w:t>
            </w:r>
            <w:r>
              <w:rPr>
                <w:rFonts w:ascii="Arial" w:eastAsia="Arial" w:hAnsi="Arial" w:cs="Arial"/>
                <w:sz w:val="20"/>
                <w:szCs w:val="20"/>
              </w:rPr>
              <w:fldChar w:fldCharType="end"/>
            </w:r>
          </w:p>
        </w:tc>
        <w:tc>
          <w:tcPr>
            <w:tcW w:w="1260" w:type="dxa"/>
            <w:vAlign w:val="center"/>
          </w:tcPr>
          <w:p w14:paraId="387643B0"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Stool</w:t>
            </w:r>
          </w:p>
        </w:tc>
        <w:tc>
          <w:tcPr>
            <w:tcW w:w="1350" w:type="dxa"/>
          </w:tcPr>
          <w:p w14:paraId="2C0F8BC2" w14:textId="77777777" w:rsidR="00625581" w:rsidRPr="000F1371" w:rsidRDefault="00625581" w:rsidP="000D055E">
            <w:pPr>
              <w:spacing w:line="360" w:lineRule="auto"/>
              <w:rPr>
                <w:rFonts w:ascii="Arial" w:eastAsia="Arial" w:hAnsi="Arial" w:cs="Arial"/>
                <w:sz w:val="20"/>
                <w:szCs w:val="20"/>
              </w:rPr>
            </w:pPr>
            <w:r w:rsidRPr="000D706B">
              <w:rPr>
                <w:rFonts w:ascii="Arial" w:eastAsia="Arial" w:hAnsi="Arial" w:cs="Arial"/>
                <w:sz w:val="20"/>
                <w:szCs w:val="20"/>
              </w:rPr>
              <w:t>9-60-49</w:t>
            </w:r>
          </w:p>
        </w:tc>
        <w:tc>
          <w:tcPr>
            <w:tcW w:w="990" w:type="dxa"/>
            <w:vAlign w:val="center"/>
          </w:tcPr>
          <w:p w14:paraId="6B715CA1"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V4</w:t>
            </w:r>
          </w:p>
        </w:tc>
        <w:tc>
          <w:tcPr>
            <w:tcW w:w="2700" w:type="dxa"/>
            <w:vAlign w:val="center"/>
          </w:tcPr>
          <w:p w14:paraId="76FB6D71"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Illumina </w:t>
            </w:r>
            <w:proofErr w:type="spellStart"/>
            <w:r w:rsidRPr="00070601">
              <w:rPr>
                <w:rFonts w:ascii="Arial" w:eastAsia="Arial" w:hAnsi="Arial" w:cs="Arial"/>
                <w:sz w:val="20"/>
                <w:szCs w:val="20"/>
              </w:rPr>
              <w:t>HiSeq</w:t>
            </w:r>
            <w:proofErr w:type="spellEnd"/>
            <w:r w:rsidRPr="00070601">
              <w:rPr>
                <w:rFonts w:ascii="Arial" w:eastAsia="Arial" w:hAnsi="Arial" w:cs="Arial"/>
                <w:sz w:val="20"/>
                <w:szCs w:val="20"/>
              </w:rPr>
              <w:t xml:space="preserve"> 2000</w:t>
            </w:r>
          </w:p>
        </w:tc>
        <w:tc>
          <w:tcPr>
            <w:tcW w:w="3420" w:type="dxa"/>
            <w:vAlign w:val="center"/>
          </w:tcPr>
          <w:p w14:paraId="26A28A0E"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318,414 (4,462 – 2,935,368)</w:t>
            </w:r>
          </w:p>
        </w:tc>
      </w:tr>
      <w:tr w:rsidR="00625581" w14:paraId="353B3C9D" w14:textId="77777777" w:rsidTr="000D055E">
        <w:trPr>
          <w:trHeight w:val="411"/>
        </w:trPr>
        <w:tc>
          <w:tcPr>
            <w:tcW w:w="1885" w:type="dxa"/>
            <w:vMerge w:val="restart"/>
            <w:vAlign w:val="center"/>
          </w:tcPr>
          <w:p w14:paraId="6E255227" w14:textId="77777777" w:rsidR="00625581" w:rsidRPr="00070601" w:rsidRDefault="00625581" w:rsidP="000D055E">
            <w:pPr>
              <w:spacing w:line="360" w:lineRule="auto"/>
              <w:rPr>
                <w:rFonts w:ascii="Arial" w:eastAsia="Arial" w:hAnsi="Arial" w:cs="Arial"/>
                <w:i/>
                <w:sz w:val="20"/>
                <w:szCs w:val="20"/>
              </w:rPr>
            </w:pPr>
            <w:r w:rsidRPr="00070601">
              <w:rPr>
                <w:rFonts w:ascii="Arial" w:eastAsia="Arial" w:hAnsi="Arial" w:cs="Arial"/>
                <w:sz w:val="20"/>
                <w:szCs w:val="20"/>
              </w:rPr>
              <w:t>SG-Cohort1_2014</w:t>
            </w:r>
            <w:r>
              <w:rPr>
                <w:rFonts w:ascii="Arial" w:eastAsia="Arial" w:hAnsi="Arial" w:cs="Arial"/>
                <w:sz w:val="20"/>
                <w:szCs w:val="20"/>
              </w:rPr>
              <w:t xml:space="preserve"> </w:t>
            </w:r>
            <w:r>
              <w:rPr>
                <w:rFonts w:ascii="Arial" w:eastAsia="Arial" w:hAnsi="Arial" w:cs="Arial"/>
                <w:sz w:val="20"/>
                <w:szCs w:val="20"/>
              </w:rPr>
              <w:fldChar w:fldCharType="begin"/>
            </w:r>
            <w:r>
              <w:rPr>
                <w:rFonts w:ascii="Arial" w:eastAsia="Arial" w:hAnsi="Arial" w:cs="Arial"/>
                <w:sz w:val="20"/>
                <w:szCs w:val="20"/>
              </w:rPr>
              <w:instrText xml:space="preserve"> ADDIN ZOTERO_ITEM CSL_CITATION {"citationID":"ach7afdk27","properties":{"formattedCitation":"(Laserna-Mendieta et al., 2018; Ryan et al., 2020)","plainCitation":"(Laserna-Mendieta et al., 2018; Ryan et al., 2020)","noteIndex":0},"citationItems":[{"id":469,"uris":["http://zotero.org/users/local/V6dRzw2J/items/XQXQURP2"],"itemData":{"id":469,"type":"article-journal","abstract":"BACKGROUND AND AIMS: Alterations in short chain fatty acid metabolism, particularly butyrate, have been reported in inflammatory bowel disease, but results have been conflicting because of small study numbers and failure to distinguish disease type, activity or other variables such as diet. We performed a comparative assessment of the capacity of the microbiota for butyrate synthesis, by quantifying butyryl-CoA:acetate CoA-transferase [BCoAT] gene content in stool from patients with Crohn's disease [CD; n = 71], ulcerative colitis [UC; n = 58] and controls [n = 75], and determined whether it was related to active vs inactive inflammation, microbial diversity, and composition and/or dietary habits.\nMETHODS: BCoAT gene content was quantified by quantitative polymerase chain reaction [qPCR]. Disease activity was assessed clinically and faecal calprotectin concentration measured. Microbial composition was determined by sequencing 16S rRNA gene. Dietary data were collected using an established food frequency questionnaire.\nRESULTS: Reduced butyrate-synthetic capacity was found in patients with active and inactive CD [p &lt; 0.001 and p &lt; 0.01, respectively], but only in active UC [p &lt; 0.05]. In CD, low BCoAT gene content was associated with ileal location, stenotic behaviour, increased inflammation, lower microbial diversity, greater microbiota compositional change, and decreased butyrogenic taxa. Reduced BCoAT gene content in patients with CD was linked with a different regimen characterised by lower dietary fibre.\nCONCLUSIONS: Reduced butyrate-synthetic capacity of the microbiota is more evident in CD than UC and may relate to reduced fibre intake. The results suggest that simple replacement of butyrate per se may be therapeutically inadequate, whereas manipulation of microbial synthesis, perhaps by dietary means, may be more appropriate.","container-title":"Journal of Crohn's &amp; Colitis","DOI":"10.1093/ecco-jcc/jjx137","ISSN":"1876-4479","issue":"2","journalAbbreviation":"J Crohns Colitis","language":"eng","note":"PMID: 29373727","page":"204-216","source":"PubMed","title":"Determinants of Reduced Genetic Capacity for Butyrate Synthesis by the Gut Microbiome in Crohn's Disease and Ulcerative Colitis","volume":"12","author":[{"family":"Laserna-Mendieta","given":"Emilio J."},{"family":"Clooney","given":"Adam G."},{"family":"Carretero-Gomez","given":"Julián F."},{"family":"Moran","given":"Carthage"},{"family":"Sheehan","given":"Donal"},{"family":"Nolan","given":"James A."},{"family":"Hill","given":"Colin"},{"family":"Gahan","given":"Cormac G. M."},{"family":"Joyce","given":"Susan A."},{"family":"Shanahan","given":"Fergus"},{"family":"Claesson","given":"Marcus J."}],"issued":{"date-parts":[["2018",1,24]]}}},{"id":335,"uris":["http://zotero.org/users/local/V6dRzw2J/items/HZI8EG2N"],"itemData":{"id":335,"type":"article-journal","container-title":"Nature communications","issue":"1","note":"publisher: Nature Publishing Group","page":"1–12","title":"Colonic microbiota is associated with inflammation and host epigenomic alterations in inflammatory bowel disease","volume":"11","author":[{"family":"Ryan","given":"Fergal J"},{"family":"Ahern","given":"AM"},{"family":"Fitzgerald","given":"RS"},{"family":"Laserna-Mendieta","given":"EJ"},{"family":"Power","given":"EM"},{"family":"Clooney","given":"AG"},{"family":"O’Donoghue","given":"KW"},{"family":"McMurdie","given":"PJ"},{"family":"Iwai","given":"S"},{"family":"Crits-Christoph","given":"A"},{"literal":"others"}],"issued":{"date-parts":[["2020"]]}}}],"schema":"https://github.com/citation-style-language/schema/raw/master/csl-citation.json"} </w:instrText>
            </w:r>
            <w:r>
              <w:rPr>
                <w:rFonts w:ascii="Arial" w:eastAsia="Arial" w:hAnsi="Arial" w:cs="Arial"/>
                <w:sz w:val="20"/>
                <w:szCs w:val="20"/>
              </w:rPr>
              <w:fldChar w:fldCharType="separate"/>
            </w:r>
            <w:r w:rsidRPr="005F6D64">
              <w:rPr>
                <w:rFonts w:ascii="Arial" w:hAnsi="Arial" w:cs="Arial"/>
                <w:sz w:val="20"/>
              </w:rPr>
              <w:t>(</w:t>
            </w:r>
            <w:proofErr w:type="spellStart"/>
            <w:r w:rsidRPr="005F6D64">
              <w:rPr>
                <w:rFonts w:ascii="Arial" w:hAnsi="Arial" w:cs="Arial"/>
                <w:sz w:val="20"/>
              </w:rPr>
              <w:t>Laserna</w:t>
            </w:r>
            <w:proofErr w:type="spellEnd"/>
            <w:r w:rsidRPr="005F6D64">
              <w:rPr>
                <w:rFonts w:ascii="Arial" w:hAnsi="Arial" w:cs="Arial"/>
                <w:sz w:val="20"/>
              </w:rPr>
              <w:t>-Mendieta et al., 2018; Ryan et al., 2020)</w:t>
            </w:r>
            <w:r>
              <w:rPr>
                <w:rFonts w:ascii="Arial" w:eastAsia="Arial" w:hAnsi="Arial" w:cs="Arial"/>
                <w:sz w:val="20"/>
                <w:szCs w:val="20"/>
              </w:rPr>
              <w:fldChar w:fldCharType="end"/>
            </w:r>
          </w:p>
        </w:tc>
        <w:tc>
          <w:tcPr>
            <w:tcW w:w="1260" w:type="dxa"/>
            <w:vAlign w:val="center"/>
          </w:tcPr>
          <w:p w14:paraId="28CD9BA1"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Stool</w:t>
            </w:r>
          </w:p>
        </w:tc>
        <w:tc>
          <w:tcPr>
            <w:tcW w:w="1350" w:type="dxa"/>
          </w:tcPr>
          <w:p w14:paraId="72D833E5" w14:textId="77777777" w:rsidR="00625581" w:rsidRPr="000F1371" w:rsidRDefault="00625581" w:rsidP="000D055E">
            <w:pPr>
              <w:spacing w:line="360" w:lineRule="auto"/>
              <w:rPr>
                <w:rFonts w:ascii="Arial" w:eastAsia="Arial" w:hAnsi="Arial" w:cs="Arial"/>
                <w:sz w:val="20"/>
                <w:szCs w:val="20"/>
              </w:rPr>
            </w:pPr>
            <w:r w:rsidRPr="00985919">
              <w:rPr>
                <w:rFonts w:ascii="Arial" w:eastAsia="Arial" w:hAnsi="Arial" w:cs="Arial"/>
                <w:sz w:val="20"/>
                <w:szCs w:val="20"/>
              </w:rPr>
              <w:t>7-29-18</w:t>
            </w:r>
          </w:p>
        </w:tc>
        <w:tc>
          <w:tcPr>
            <w:tcW w:w="990" w:type="dxa"/>
            <w:vAlign w:val="center"/>
          </w:tcPr>
          <w:p w14:paraId="6B4BD22C"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WGS</w:t>
            </w:r>
          </w:p>
        </w:tc>
        <w:tc>
          <w:tcPr>
            <w:tcW w:w="2700" w:type="dxa"/>
            <w:vAlign w:val="center"/>
          </w:tcPr>
          <w:p w14:paraId="56CAD719"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Illumina </w:t>
            </w:r>
            <w:proofErr w:type="spellStart"/>
            <w:r w:rsidRPr="00070601">
              <w:rPr>
                <w:rFonts w:ascii="Arial" w:eastAsia="Arial" w:hAnsi="Arial" w:cs="Arial"/>
                <w:sz w:val="20"/>
                <w:szCs w:val="20"/>
              </w:rPr>
              <w:t>HiSeq</w:t>
            </w:r>
            <w:proofErr w:type="spellEnd"/>
            <w:r w:rsidRPr="00070601">
              <w:rPr>
                <w:rFonts w:ascii="Arial" w:eastAsia="Arial" w:hAnsi="Arial" w:cs="Arial"/>
                <w:sz w:val="20"/>
                <w:szCs w:val="20"/>
              </w:rPr>
              <w:t xml:space="preserve"> </w:t>
            </w:r>
          </w:p>
        </w:tc>
        <w:tc>
          <w:tcPr>
            <w:tcW w:w="3420" w:type="dxa"/>
            <w:vAlign w:val="center"/>
          </w:tcPr>
          <w:p w14:paraId="3EAAB053"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13,621,400 (4,529,515 – 22,256,346)</w:t>
            </w:r>
          </w:p>
        </w:tc>
      </w:tr>
      <w:tr w:rsidR="00625581" w14:paraId="6ED5F58C" w14:textId="77777777" w:rsidTr="000D055E">
        <w:trPr>
          <w:trHeight w:val="407"/>
        </w:trPr>
        <w:tc>
          <w:tcPr>
            <w:tcW w:w="1885" w:type="dxa"/>
            <w:vMerge/>
            <w:vAlign w:val="center"/>
          </w:tcPr>
          <w:p w14:paraId="3C91326B"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1260" w:type="dxa"/>
            <w:vAlign w:val="center"/>
          </w:tcPr>
          <w:p w14:paraId="2948157A" w14:textId="77777777" w:rsidR="00625581" w:rsidRPr="000D055E" w:rsidRDefault="00625581" w:rsidP="000D055E">
            <w:pPr>
              <w:spacing w:line="360" w:lineRule="auto"/>
              <w:rPr>
                <w:rFonts w:ascii="Arial" w:eastAsia="Arial" w:hAnsi="Arial" w:cs="Arial"/>
                <w:sz w:val="20"/>
                <w:szCs w:val="20"/>
              </w:rPr>
            </w:pPr>
            <w:r w:rsidRPr="000D055E">
              <w:rPr>
                <w:rFonts w:ascii="Arial" w:eastAsia="Arial" w:hAnsi="Arial" w:cs="Arial"/>
                <w:sz w:val="20"/>
                <w:szCs w:val="20"/>
              </w:rPr>
              <w:t>Stool</w:t>
            </w:r>
          </w:p>
        </w:tc>
        <w:tc>
          <w:tcPr>
            <w:tcW w:w="1350" w:type="dxa"/>
          </w:tcPr>
          <w:p w14:paraId="4D6CC4A8" w14:textId="77777777" w:rsidR="00625581" w:rsidRPr="000F1371" w:rsidRDefault="00625581" w:rsidP="000D055E">
            <w:pPr>
              <w:spacing w:line="360" w:lineRule="auto"/>
              <w:rPr>
                <w:rFonts w:ascii="Arial" w:eastAsia="Arial" w:hAnsi="Arial" w:cs="Arial"/>
                <w:sz w:val="20"/>
                <w:szCs w:val="20"/>
              </w:rPr>
            </w:pPr>
            <w:r w:rsidRPr="00985919">
              <w:rPr>
                <w:rFonts w:ascii="Arial" w:eastAsia="Arial" w:hAnsi="Arial" w:cs="Arial"/>
                <w:sz w:val="20"/>
                <w:szCs w:val="20"/>
              </w:rPr>
              <w:t>7-29-18</w:t>
            </w:r>
          </w:p>
        </w:tc>
        <w:tc>
          <w:tcPr>
            <w:tcW w:w="990" w:type="dxa"/>
            <w:vAlign w:val="center"/>
          </w:tcPr>
          <w:p w14:paraId="60C14AFA"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V3-V4</w:t>
            </w:r>
          </w:p>
        </w:tc>
        <w:tc>
          <w:tcPr>
            <w:tcW w:w="2700" w:type="dxa"/>
            <w:vAlign w:val="center"/>
          </w:tcPr>
          <w:p w14:paraId="726652E0"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Illumina </w:t>
            </w:r>
            <w:proofErr w:type="spellStart"/>
            <w:r w:rsidRPr="00070601">
              <w:rPr>
                <w:rFonts w:ascii="Arial" w:eastAsia="Arial" w:hAnsi="Arial" w:cs="Arial"/>
                <w:sz w:val="20"/>
                <w:szCs w:val="20"/>
              </w:rPr>
              <w:t>MiSeq</w:t>
            </w:r>
            <w:proofErr w:type="spellEnd"/>
          </w:p>
        </w:tc>
        <w:tc>
          <w:tcPr>
            <w:tcW w:w="3420" w:type="dxa"/>
            <w:vAlign w:val="center"/>
          </w:tcPr>
          <w:p w14:paraId="5A865774"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40,062 (1,081 – 73,627)</w:t>
            </w:r>
          </w:p>
        </w:tc>
      </w:tr>
      <w:tr w:rsidR="00625581" w14:paraId="511A636F" w14:textId="77777777" w:rsidTr="000D055E">
        <w:trPr>
          <w:trHeight w:val="407"/>
        </w:trPr>
        <w:tc>
          <w:tcPr>
            <w:tcW w:w="1885" w:type="dxa"/>
            <w:vMerge/>
            <w:vAlign w:val="center"/>
          </w:tcPr>
          <w:p w14:paraId="2139F818"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1260" w:type="dxa"/>
            <w:vAlign w:val="center"/>
          </w:tcPr>
          <w:p w14:paraId="47EF6A7D" w14:textId="77777777" w:rsidR="00625581" w:rsidRPr="000D055E" w:rsidRDefault="00625581" w:rsidP="000D055E">
            <w:pPr>
              <w:spacing w:line="360" w:lineRule="auto"/>
              <w:rPr>
                <w:rFonts w:ascii="Arial" w:eastAsia="Arial" w:hAnsi="Arial" w:cs="Arial"/>
                <w:sz w:val="20"/>
                <w:szCs w:val="20"/>
              </w:rPr>
            </w:pPr>
            <w:r w:rsidRPr="000D055E">
              <w:rPr>
                <w:rFonts w:ascii="Arial" w:eastAsia="Arial" w:hAnsi="Arial" w:cs="Arial"/>
                <w:sz w:val="20"/>
                <w:szCs w:val="20"/>
              </w:rPr>
              <w:t>Mucosa</w:t>
            </w:r>
          </w:p>
        </w:tc>
        <w:tc>
          <w:tcPr>
            <w:tcW w:w="1350" w:type="dxa"/>
          </w:tcPr>
          <w:p w14:paraId="46D518F9" w14:textId="77777777" w:rsidR="00625581" w:rsidRPr="000F1371" w:rsidRDefault="00625581" w:rsidP="000D055E">
            <w:pPr>
              <w:spacing w:line="360" w:lineRule="auto"/>
              <w:rPr>
                <w:rFonts w:ascii="Arial" w:eastAsia="Arial" w:hAnsi="Arial" w:cs="Arial"/>
                <w:sz w:val="20"/>
                <w:szCs w:val="20"/>
              </w:rPr>
            </w:pPr>
            <w:r w:rsidRPr="00985919">
              <w:rPr>
                <w:rFonts w:ascii="Arial" w:eastAsia="Arial" w:hAnsi="Arial" w:cs="Arial"/>
                <w:sz w:val="20"/>
                <w:szCs w:val="20"/>
              </w:rPr>
              <w:t>15-93-55</w:t>
            </w:r>
          </w:p>
        </w:tc>
        <w:tc>
          <w:tcPr>
            <w:tcW w:w="990" w:type="dxa"/>
            <w:vAlign w:val="center"/>
          </w:tcPr>
          <w:p w14:paraId="782BE0F2"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V4</w:t>
            </w:r>
          </w:p>
        </w:tc>
        <w:tc>
          <w:tcPr>
            <w:tcW w:w="2700" w:type="dxa"/>
            <w:vAlign w:val="center"/>
          </w:tcPr>
          <w:p w14:paraId="4661919C"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Illumina </w:t>
            </w:r>
            <w:proofErr w:type="spellStart"/>
            <w:r w:rsidRPr="00070601">
              <w:rPr>
                <w:rFonts w:ascii="Arial" w:eastAsia="Arial" w:hAnsi="Arial" w:cs="Arial"/>
                <w:sz w:val="20"/>
                <w:szCs w:val="20"/>
              </w:rPr>
              <w:t>MiSeq</w:t>
            </w:r>
            <w:proofErr w:type="spellEnd"/>
          </w:p>
        </w:tc>
        <w:tc>
          <w:tcPr>
            <w:tcW w:w="3420" w:type="dxa"/>
            <w:vAlign w:val="center"/>
          </w:tcPr>
          <w:p w14:paraId="281BE484"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46,384 (2,560 – 559,465)</w:t>
            </w:r>
          </w:p>
        </w:tc>
      </w:tr>
      <w:tr w:rsidR="00625581" w14:paraId="3DF4FDE6" w14:textId="77777777" w:rsidTr="000D055E">
        <w:trPr>
          <w:trHeight w:val="407"/>
        </w:trPr>
        <w:tc>
          <w:tcPr>
            <w:tcW w:w="1885" w:type="dxa"/>
            <w:vMerge/>
            <w:vAlign w:val="center"/>
          </w:tcPr>
          <w:p w14:paraId="7C657E19"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1260" w:type="dxa"/>
            <w:vAlign w:val="center"/>
          </w:tcPr>
          <w:p w14:paraId="5CA3910C" w14:textId="77777777" w:rsidR="00625581" w:rsidRPr="000D055E" w:rsidRDefault="00625581" w:rsidP="000D055E">
            <w:pPr>
              <w:spacing w:line="360" w:lineRule="auto"/>
              <w:rPr>
                <w:rFonts w:ascii="Arial" w:eastAsia="Arial" w:hAnsi="Arial" w:cs="Arial"/>
                <w:sz w:val="20"/>
                <w:szCs w:val="20"/>
              </w:rPr>
            </w:pPr>
            <w:r w:rsidRPr="000D055E">
              <w:rPr>
                <w:rFonts w:ascii="Arial" w:eastAsia="Arial" w:hAnsi="Arial" w:cs="Arial"/>
                <w:sz w:val="20"/>
                <w:szCs w:val="20"/>
              </w:rPr>
              <w:t>Mucosa</w:t>
            </w:r>
          </w:p>
        </w:tc>
        <w:tc>
          <w:tcPr>
            <w:tcW w:w="1350" w:type="dxa"/>
          </w:tcPr>
          <w:p w14:paraId="0A005EE4" w14:textId="77777777" w:rsidR="00625581" w:rsidRPr="000F1371" w:rsidRDefault="00625581" w:rsidP="000D055E">
            <w:pPr>
              <w:spacing w:line="360" w:lineRule="auto"/>
              <w:rPr>
                <w:rFonts w:ascii="Arial" w:eastAsia="Arial" w:hAnsi="Arial" w:cs="Arial"/>
                <w:sz w:val="20"/>
                <w:szCs w:val="20"/>
              </w:rPr>
            </w:pPr>
            <w:r w:rsidRPr="00985919">
              <w:rPr>
                <w:rFonts w:ascii="Arial" w:eastAsia="Arial" w:hAnsi="Arial" w:cs="Arial"/>
                <w:sz w:val="20"/>
                <w:szCs w:val="20"/>
              </w:rPr>
              <w:t>31-91-54</w:t>
            </w:r>
          </w:p>
        </w:tc>
        <w:tc>
          <w:tcPr>
            <w:tcW w:w="990" w:type="dxa"/>
            <w:vAlign w:val="center"/>
          </w:tcPr>
          <w:p w14:paraId="4B450906"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V3-V4 </w:t>
            </w:r>
          </w:p>
        </w:tc>
        <w:tc>
          <w:tcPr>
            <w:tcW w:w="2700" w:type="dxa"/>
            <w:vAlign w:val="center"/>
          </w:tcPr>
          <w:p w14:paraId="32780DDD"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Illumina </w:t>
            </w:r>
            <w:proofErr w:type="spellStart"/>
            <w:r w:rsidRPr="00070601">
              <w:rPr>
                <w:rFonts w:ascii="Arial" w:eastAsia="Arial" w:hAnsi="Arial" w:cs="Arial"/>
                <w:sz w:val="20"/>
                <w:szCs w:val="20"/>
              </w:rPr>
              <w:t>MiSeq</w:t>
            </w:r>
            <w:proofErr w:type="spellEnd"/>
          </w:p>
        </w:tc>
        <w:tc>
          <w:tcPr>
            <w:tcW w:w="3420" w:type="dxa"/>
            <w:vAlign w:val="center"/>
          </w:tcPr>
          <w:p w14:paraId="42B8933A"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9,090 (879 – 45,666)</w:t>
            </w:r>
          </w:p>
        </w:tc>
      </w:tr>
      <w:tr w:rsidR="00625581" w14:paraId="3B9EB775" w14:textId="77777777" w:rsidTr="000D055E">
        <w:trPr>
          <w:trHeight w:val="407"/>
        </w:trPr>
        <w:tc>
          <w:tcPr>
            <w:tcW w:w="1885" w:type="dxa"/>
            <w:vMerge/>
            <w:vAlign w:val="center"/>
          </w:tcPr>
          <w:p w14:paraId="7ABD349F"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1260" w:type="dxa"/>
            <w:vAlign w:val="center"/>
          </w:tcPr>
          <w:p w14:paraId="4798B052" w14:textId="77777777" w:rsidR="00625581" w:rsidRPr="000D055E" w:rsidRDefault="00625581" w:rsidP="000D055E">
            <w:pPr>
              <w:spacing w:line="360" w:lineRule="auto"/>
              <w:rPr>
                <w:rFonts w:ascii="Arial" w:eastAsia="Arial" w:hAnsi="Arial" w:cs="Arial"/>
                <w:sz w:val="20"/>
                <w:szCs w:val="20"/>
              </w:rPr>
            </w:pPr>
            <w:r w:rsidRPr="000D055E">
              <w:rPr>
                <w:rFonts w:ascii="Arial" w:eastAsia="Arial" w:hAnsi="Arial" w:cs="Arial"/>
                <w:sz w:val="20"/>
                <w:szCs w:val="20"/>
              </w:rPr>
              <w:t>Mucosa</w:t>
            </w:r>
          </w:p>
        </w:tc>
        <w:tc>
          <w:tcPr>
            <w:tcW w:w="1350" w:type="dxa"/>
          </w:tcPr>
          <w:p w14:paraId="47B11DAB" w14:textId="77777777" w:rsidR="00625581" w:rsidRPr="000F1371" w:rsidRDefault="00625581" w:rsidP="000D055E">
            <w:pPr>
              <w:spacing w:line="360" w:lineRule="auto"/>
              <w:rPr>
                <w:rFonts w:ascii="Arial" w:eastAsia="Arial" w:hAnsi="Arial" w:cs="Arial"/>
                <w:sz w:val="20"/>
                <w:szCs w:val="20"/>
              </w:rPr>
            </w:pPr>
            <w:r w:rsidRPr="00985919">
              <w:rPr>
                <w:rFonts w:ascii="Arial" w:eastAsia="Arial" w:hAnsi="Arial" w:cs="Arial"/>
                <w:sz w:val="20"/>
                <w:szCs w:val="20"/>
              </w:rPr>
              <w:t>25-91-49</w:t>
            </w:r>
          </w:p>
        </w:tc>
        <w:tc>
          <w:tcPr>
            <w:tcW w:w="990" w:type="dxa"/>
            <w:vAlign w:val="center"/>
          </w:tcPr>
          <w:p w14:paraId="70CC07D4"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V3-V4 (cDNA)</w:t>
            </w:r>
          </w:p>
        </w:tc>
        <w:tc>
          <w:tcPr>
            <w:tcW w:w="2700" w:type="dxa"/>
            <w:vAlign w:val="center"/>
          </w:tcPr>
          <w:p w14:paraId="5E5540A2"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Illumina </w:t>
            </w:r>
            <w:proofErr w:type="spellStart"/>
            <w:r w:rsidRPr="00070601">
              <w:rPr>
                <w:rFonts w:ascii="Arial" w:eastAsia="Arial" w:hAnsi="Arial" w:cs="Arial"/>
                <w:sz w:val="20"/>
                <w:szCs w:val="20"/>
              </w:rPr>
              <w:t>MiSeq</w:t>
            </w:r>
            <w:proofErr w:type="spellEnd"/>
          </w:p>
        </w:tc>
        <w:tc>
          <w:tcPr>
            <w:tcW w:w="3420" w:type="dxa"/>
            <w:vAlign w:val="center"/>
          </w:tcPr>
          <w:p w14:paraId="079D60FE"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23,511 (9,942 – 84,489)</w:t>
            </w:r>
          </w:p>
        </w:tc>
      </w:tr>
      <w:tr w:rsidR="00625581" w14:paraId="72E2D335" w14:textId="77777777" w:rsidTr="000D055E">
        <w:trPr>
          <w:trHeight w:val="407"/>
        </w:trPr>
        <w:tc>
          <w:tcPr>
            <w:tcW w:w="1885" w:type="dxa"/>
            <w:vMerge/>
            <w:vAlign w:val="center"/>
          </w:tcPr>
          <w:p w14:paraId="52F0CC69"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1260" w:type="dxa"/>
            <w:vAlign w:val="center"/>
          </w:tcPr>
          <w:p w14:paraId="7ADEA7DD" w14:textId="77777777" w:rsidR="00625581" w:rsidRPr="000D055E" w:rsidRDefault="00625581" w:rsidP="000D055E">
            <w:pPr>
              <w:spacing w:line="360" w:lineRule="auto"/>
              <w:rPr>
                <w:rFonts w:ascii="Arial" w:eastAsia="Arial" w:hAnsi="Arial" w:cs="Arial"/>
                <w:sz w:val="20"/>
                <w:szCs w:val="20"/>
              </w:rPr>
            </w:pPr>
            <w:r w:rsidRPr="000D055E">
              <w:rPr>
                <w:rFonts w:ascii="Arial" w:eastAsia="Arial" w:hAnsi="Arial" w:cs="Arial"/>
                <w:sz w:val="20"/>
                <w:szCs w:val="20"/>
              </w:rPr>
              <w:t>Mucosa</w:t>
            </w:r>
          </w:p>
        </w:tc>
        <w:tc>
          <w:tcPr>
            <w:tcW w:w="1350" w:type="dxa"/>
          </w:tcPr>
          <w:p w14:paraId="4ADAD3AD" w14:textId="77777777" w:rsidR="00625581" w:rsidRPr="000F1371" w:rsidRDefault="00625581" w:rsidP="000D055E">
            <w:pPr>
              <w:spacing w:line="360" w:lineRule="auto"/>
              <w:rPr>
                <w:rFonts w:ascii="Arial" w:eastAsia="Arial" w:hAnsi="Arial" w:cs="Arial"/>
                <w:sz w:val="20"/>
                <w:szCs w:val="20"/>
              </w:rPr>
            </w:pPr>
            <w:r w:rsidRPr="00985919">
              <w:rPr>
                <w:rFonts w:ascii="Arial" w:eastAsia="Arial" w:hAnsi="Arial" w:cs="Arial"/>
                <w:sz w:val="20"/>
                <w:szCs w:val="20"/>
              </w:rPr>
              <w:t>25-86-54</w:t>
            </w:r>
          </w:p>
        </w:tc>
        <w:tc>
          <w:tcPr>
            <w:tcW w:w="990" w:type="dxa"/>
            <w:vAlign w:val="center"/>
          </w:tcPr>
          <w:p w14:paraId="47F78092"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V1-V9</w:t>
            </w:r>
          </w:p>
        </w:tc>
        <w:tc>
          <w:tcPr>
            <w:tcW w:w="2700" w:type="dxa"/>
            <w:vAlign w:val="center"/>
          </w:tcPr>
          <w:p w14:paraId="7D0C2A04"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G4 </w:t>
            </w:r>
            <w:proofErr w:type="spellStart"/>
            <w:r w:rsidRPr="00070601">
              <w:rPr>
                <w:rFonts w:ascii="Arial" w:eastAsia="Arial" w:hAnsi="Arial" w:cs="Arial"/>
                <w:sz w:val="20"/>
                <w:szCs w:val="20"/>
              </w:rPr>
              <w:t>PhyloChip</w:t>
            </w:r>
            <w:proofErr w:type="spellEnd"/>
          </w:p>
        </w:tc>
        <w:tc>
          <w:tcPr>
            <w:tcW w:w="3420" w:type="dxa"/>
            <w:vAlign w:val="center"/>
          </w:tcPr>
          <w:p w14:paraId="56B4D882"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i/>
                <w:sz w:val="20"/>
                <w:szCs w:val="20"/>
              </w:rPr>
              <w:t>Does not apply</w:t>
            </w:r>
          </w:p>
        </w:tc>
      </w:tr>
      <w:tr w:rsidR="00625581" w14:paraId="04DCD0C0" w14:textId="77777777" w:rsidTr="000D055E">
        <w:trPr>
          <w:trHeight w:val="750"/>
        </w:trPr>
        <w:tc>
          <w:tcPr>
            <w:tcW w:w="1885" w:type="dxa"/>
            <w:vMerge w:val="restart"/>
            <w:vAlign w:val="center"/>
          </w:tcPr>
          <w:p w14:paraId="02CD8C3F"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SG-Cohort2_2013</w:t>
            </w:r>
            <w:r w:rsidRPr="00070601">
              <w:rPr>
                <w:rFonts w:ascii="Arial" w:eastAsia="Arial" w:hAnsi="Arial" w:cs="Arial"/>
                <w:sz w:val="20"/>
                <w:szCs w:val="20"/>
              </w:rPr>
              <w:br/>
            </w:r>
            <w:r w:rsidRPr="000F1371">
              <w:rPr>
                <w:rFonts w:ascii="Arial" w:eastAsia="Arial" w:hAnsi="Arial" w:cs="Arial"/>
                <w:i/>
                <w:sz w:val="20"/>
                <w:szCs w:val="20"/>
              </w:rPr>
              <w:t>generated in this study</w:t>
            </w:r>
          </w:p>
        </w:tc>
        <w:tc>
          <w:tcPr>
            <w:tcW w:w="1260" w:type="dxa"/>
            <w:vMerge w:val="restart"/>
            <w:vAlign w:val="center"/>
          </w:tcPr>
          <w:p w14:paraId="228A0742"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Mucosa</w:t>
            </w:r>
          </w:p>
        </w:tc>
        <w:tc>
          <w:tcPr>
            <w:tcW w:w="1350" w:type="dxa"/>
          </w:tcPr>
          <w:p w14:paraId="24453590" w14:textId="77777777" w:rsidR="00625581" w:rsidRPr="000F1371" w:rsidRDefault="00625581" w:rsidP="000D055E">
            <w:pPr>
              <w:spacing w:line="360" w:lineRule="auto"/>
              <w:rPr>
                <w:rFonts w:ascii="Arial" w:eastAsia="Arial" w:hAnsi="Arial" w:cs="Arial"/>
                <w:sz w:val="20"/>
                <w:szCs w:val="20"/>
              </w:rPr>
            </w:pPr>
            <w:r w:rsidRPr="00985919">
              <w:rPr>
                <w:rFonts w:ascii="Arial" w:eastAsia="Arial" w:hAnsi="Arial" w:cs="Arial"/>
                <w:sz w:val="20"/>
                <w:szCs w:val="20"/>
              </w:rPr>
              <w:t>20-20-0</w:t>
            </w:r>
          </w:p>
        </w:tc>
        <w:tc>
          <w:tcPr>
            <w:tcW w:w="990" w:type="dxa"/>
            <w:vAlign w:val="center"/>
          </w:tcPr>
          <w:p w14:paraId="0E24A3D7"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V4</w:t>
            </w:r>
          </w:p>
        </w:tc>
        <w:tc>
          <w:tcPr>
            <w:tcW w:w="2700" w:type="dxa"/>
            <w:vAlign w:val="center"/>
          </w:tcPr>
          <w:p w14:paraId="2EAE305F"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Illumina </w:t>
            </w:r>
            <w:proofErr w:type="spellStart"/>
            <w:r w:rsidRPr="00070601">
              <w:rPr>
                <w:rFonts w:ascii="Arial" w:eastAsia="Arial" w:hAnsi="Arial" w:cs="Arial"/>
                <w:sz w:val="20"/>
                <w:szCs w:val="20"/>
              </w:rPr>
              <w:t>MiSeq</w:t>
            </w:r>
            <w:proofErr w:type="spellEnd"/>
          </w:p>
        </w:tc>
        <w:tc>
          <w:tcPr>
            <w:tcW w:w="3420" w:type="dxa"/>
            <w:vAlign w:val="center"/>
          </w:tcPr>
          <w:p w14:paraId="6B826801"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328,474.5 (18,819 – 639,650)</w:t>
            </w:r>
          </w:p>
        </w:tc>
      </w:tr>
      <w:tr w:rsidR="00625581" w14:paraId="37E4670F" w14:textId="77777777" w:rsidTr="000D055E">
        <w:trPr>
          <w:trHeight w:val="749"/>
        </w:trPr>
        <w:tc>
          <w:tcPr>
            <w:tcW w:w="1885" w:type="dxa"/>
            <w:vMerge/>
            <w:vAlign w:val="center"/>
          </w:tcPr>
          <w:p w14:paraId="2640F5E5"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1260" w:type="dxa"/>
            <w:vMerge/>
            <w:vAlign w:val="center"/>
          </w:tcPr>
          <w:p w14:paraId="2526291C" w14:textId="77777777" w:rsidR="00625581" w:rsidRPr="000D055E" w:rsidRDefault="00625581" w:rsidP="000D055E">
            <w:pPr>
              <w:widowControl w:val="0"/>
              <w:pBdr>
                <w:top w:val="nil"/>
                <w:left w:val="nil"/>
                <w:bottom w:val="nil"/>
                <w:right w:val="nil"/>
                <w:between w:val="nil"/>
              </w:pBdr>
              <w:spacing w:line="276" w:lineRule="auto"/>
              <w:rPr>
                <w:rFonts w:ascii="Arial" w:eastAsia="Arial" w:hAnsi="Arial" w:cs="Arial"/>
                <w:sz w:val="20"/>
                <w:szCs w:val="20"/>
              </w:rPr>
            </w:pPr>
          </w:p>
        </w:tc>
        <w:tc>
          <w:tcPr>
            <w:tcW w:w="1350" w:type="dxa"/>
          </w:tcPr>
          <w:p w14:paraId="4403E59F" w14:textId="77777777" w:rsidR="00625581" w:rsidRPr="000F1371" w:rsidRDefault="00625581" w:rsidP="000D055E">
            <w:pPr>
              <w:spacing w:line="360" w:lineRule="auto"/>
              <w:rPr>
                <w:rFonts w:ascii="Arial" w:eastAsia="Arial" w:hAnsi="Arial" w:cs="Arial"/>
                <w:sz w:val="20"/>
                <w:szCs w:val="20"/>
              </w:rPr>
            </w:pPr>
            <w:r>
              <w:rPr>
                <w:rFonts w:ascii="Arial" w:eastAsia="Arial" w:hAnsi="Arial" w:cs="Arial"/>
                <w:sz w:val="20"/>
                <w:szCs w:val="20"/>
              </w:rPr>
              <w:t>2</w:t>
            </w:r>
            <w:r w:rsidRPr="00985919">
              <w:rPr>
                <w:rFonts w:ascii="Arial" w:eastAsia="Arial" w:hAnsi="Arial" w:cs="Arial"/>
                <w:sz w:val="20"/>
                <w:szCs w:val="20"/>
              </w:rPr>
              <w:t>0-20-0</w:t>
            </w:r>
          </w:p>
        </w:tc>
        <w:tc>
          <w:tcPr>
            <w:tcW w:w="990" w:type="dxa"/>
            <w:vAlign w:val="center"/>
          </w:tcPr>
          <w:p w14:paraId="648CE56B"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V1-V9</w:t>
            </w:r>
          </w:p>
        </w:tc>
        <w:tc>
          <w:tcPr>
            <w:tcW w:w="2700" w:type="dxa"/>
            <w:vAlign w:val="center"/>
          </w:tcPr>
          <w:p w14:paraId="0C4A1FDA" w14:textId="77777777" w:rsidR="00625581" w:rsidRPr="00070601" w:rsidRDefault="00625581" w:rsidP="000D055E">
            <w:pPr>
              <w:spacing w:line="360" w:lineRule="auto"/>
              <w:rPr>
                <w:rFonts w:ascii="Arial" w:eastAsia="Arial" w:hAnsi="Arial" w:cs="Arial"/>
                <w:sz w:val="20"/>
                <w:szCs w:val="20"/>
              </w:rPr>
            </w:pPr>
            <w:r w:rsidRPr="00070601">
              <w:rPr>
                <w:rFonts w:ascii="Arial" w:eastAsia="Arial" w:hAnsi="Arial" w:cs="Arial"/>
                <w:sz w:val="20"/>
                <w:szCs w:val="20"/>
              </w:rPr>
              <w:t xml:space="preserve">G3 </w:t>
            </w:r>
            <w:proofErr w:type="spellStart"/>
            <w:r w:rsidRPr="00070601">
              <w:rPr>
                <w:rFonts w:ascii="Arial" w:eastAsia="Arial" w:hAnsi="Arial" w:cs="Arial"/>
                <w:sz w:val="20"/>
                <w:szCs w:val="20"/>
              </w:rPr>
              <w:t>PhyloChip</w:t>
            </w:r>
            <w:proofErr w:type="spellEnd"/>
          </w:p>
        </w:tc>
        <w:tc>
          <w:tcPr>
            <w:tcW w:w="3420" w:type="dxa"/>
            <w:vAlign w:val="center"/>
          </w:tcPr>
          <w:p w14:paraId="12B4A9D7" w14:textId="77777777" w:rsidR="00625581" w:rsidRPr="00070601" w:rsidRDefault="00625581" w:rsidP="000D055E">
            <w:pPr>
              <w:spacing w:line="360" w:lineRule="auto"/>
              <w:rPr>
                <w:rFonts w:ascii="Arial" w:eastAsia="Arial" w:hAnsi="Arial" w:cs="Arial"/>
                <w:i/>
                <w:sz w:val="20"/>
                <w:szCs w:val="20"/>
              </w:rPr>
            </w:pPr>
            <w:r w:rsidRPr="00070601">
              <w:rPr>
                <w:rFonts w:ascii="Arial" w:eastAsia="Arial" w:hAnsi="Arial" w:cs="Arial"/>
                <w:i/>
                <w:sz w:val="20"/>
                <w:szCs w:val="20"/>
              </w:rPr>
              <w:t>Does not apply</w:t>
            </w:r>
          </w:p>
        </w:tc>
      </w:tr>
      <w:tr w:rsidR="00625581" w14:paraId="02676990" w14:textId="77777777" w:rsidTr="000D055E">
        <w:tc>
          <w:tcPr>
            <w:tcW w:w="1885" w:type="dxa"/>
            <w:vAlign w:val="center"/>
          </w:tcPr>
          <w:p w14:paraId="50528F01" w14:textId="77777777" w:rsidR="00625581" w:rsidRPr="00625581" w:rsidRDefault="00625581" w:rsidP="000D055E">
            <w:pPr>
              <w:spacing w:line="360" w:lineRule="auto"/>
              <w:rPr>
                <w:rFonts w:ascii="Arial" w:eastAsia="Arial" w:hAnsi="Arial" w:cs="Arial"/>
                <w:sz w:val="20"/>
                <w:szCs w:val="20"/>
                <w:lang w:val="fr-FR"/>
              </w:rPr>
            </w:pPr>
            <w:r w:rsidRPr="00625581">
              <w:rPr>
                <w:rFonts w:ascii="Arial" w:eastAsia="Arial" w:hAnsi="Arial" w:cs="Arial"/>
                <w:sz w:val="20"/>
                <w:szCs w:val="20"/>
                <w:lang w:val="fr-FR"/>
              </w:rPr>
              <w:t xml:space="preserve">SG-Cohort3_2015 </w:t>
            </w:r>
            <w:r>
              <w:rPr>
                <w:rFonts w:ascii="Arial" w:eastAsia="Arial" w:hAnsi="Arial" w:cs="Arial"/>
                <w:sz w:val="20"/>
                <w:szCs w:val="20"/>
              </w:rPr>
              <w:fldChar w:fldCharType="begin"/>
            </w:r>
            <w:r w:rsidRPr="00625581">
              <w:rPr>
                <w:rFonts w:ascii="Arial" w:eastAsia="Arial" w:hAnsi="Arial" w:cs="Arial"/>
                <w:sz w:val="20"/>
                <w:szCs w:val="20"/>
                <w:lang w:val="fr-FR"/>
              </w:rPr>
              <w:instrText xml:space="preserve"> ADDIN ZOTERO_ITEM CSL_CITATION {"citationID":"a1gijcn69f7","properties":{"formattedCitation":"(Yin et al., 2020)","plainCitation":"(Yin et al., 2020)","noteIndex":0},"citationItems":[{"id":474,"uris":["http://zotero.org/users/local/V6dRzw2J/items/B38MV8JG"],"itemData":{"id":474,"type":"article-journal","abstract":"Metabolomic analyses of human gut microbiome samples can unveil the metabolic potential of host tissues and the numerous microorganisms they support, concurrently. As such, metabolomic information bears immense potential to improve disease diagnosis and therapeutic drug discovery. Unfortunately, as cohort sizes increase, comprehensive metabolomic profiling becomes costly and logistically difficult to perform at a large scale. To address these difficulties, we tested the feasibility of predicting the metabolites of a microbial community based solely on microbiome sequencing data. Paired microbiome sequencing (16S rRNA gene amplicons, shotgun metagenomics, and metatranscriptomics) and metabolome (mass spectrometry and nuclear magnetic resonance spectroscopy) datasets were collected from six independent studies spanning multiple diseases. We used these datasets to evaluate two reference-based gene-to-metabolite prediction pipelines and a machine-learning (ML) based metabolic profile prediction approach. With the pre-trained model on over 900 microbiome-metabolome paired samples, the ML approach yielded the most accurate predictions (i.e., highest F1 scores) of metabolite occurrences in the human gut and outperformed reference-based pipelines in predicting differential metabolites between case and control subjects. Our findings demonstrate the possibility of predicting metabolites from microbiome sequencing data, while highlighting certain limitations in detecting differential metabolites, and provide a framework to evaluate metabolite prediction pipelines, which will ultimately facilitate future investigations on microbial metabolites and human health.","container-title":"Frontiers in Microbiology","DOI":"10.3389/fmicb.2020.595910","ISSN":"1664-302X","journalAbbreviation":"Front Microbiol","language":"eng","note":"PMID: 33343536\nPMCID: PMC7746778","page":"595910","source":"PubMed","title":"A Comparative Evaluation of Tools to Predict Metabolite Profiles From Microbiome Sequencing Data","volume":"11","author":[{"family":"Yin","given":"Xiaochen"},{"family":"Altman","given":"Tomer"},{"family":"Rutherford","given":"Erica"},{"family":"West","given":"Kiana A."},{"family":"Wu","given":"Yonggan"},{"family":"Choi","given":"Jinlyung"},{"family":"Beck","given":"Paul L."},{"family":"Kaplan","given":"Gilaad G."},{"family":"Dabbagh","given":"Karim"},{"family":"DeSantis","given":"Todd Z."},{"family":"Iwai","given":"Shoko"}],"issued":{"date-parts":[["2020"]]}}}],"schema":"https://github.com/citation-style-language/schema/raw/master/csl-citation.json"} </w:instrText>
            </w:r>
            <w:r>
              <w:rPr>
                <w:rFonts w:ascii="Arial" w:eastAsia="Arial" w:hAnsi="Arial" w:cs="Arial"/>
                <w:sz w:val="20"/>
                <w:szCs w:val="20"/>
              </w:rPr>
              <w:fldChar w:fldCharType="separate"/>
            </w:r>
            <w:r w:rsidRPr="00625581">
              <w:rPr>
                <w:rFonts w:ascii="Arial" w:hAnsi="Arial" w:cs="Arial"/>
                <w:sz w:val="20"/>
                <w:lang w:val="fr-FR"/>
              </w:rPr>
              <w:t>(Yin et al., 2020)</w:t>
            </w:r>
            <w:r>
              <w:rPr>
                <w:rFonts w:ascii="Arial" w:eastAsia="Arial" w:hAnsi="Arial" w:cs="Arial"/>
                <w:sz w:val="20"/>
                <w:szCs w:val="20"/>
              </w:rPr>
              <w:fldChar w:fldCharType="end"/>
            </w:r>
          </w:p>
        </w:tc>
        <w:tc>
          <w:tcPr>
            <w:tcW w:w="1260" w:type="dxa"/>
            <w:vAlign w:val="center"/>
          </w:tcPr>
          <w:p w14:paraId="0A44EA11"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Stool</w:t>
            </w:r>
          </w:p>
        </w:tc>
        <w:tc>
          <w:tcPr>
            <w:tcW w:w="1350" w:type="dxa"/>
          </w:tcPr>
          <w:p w14:paraId="10D43358" w14:textId="77777777" w:rsidR="00625581" w:rsidRPr="00001ED0" w:rsidRDefault="00625581" w:rsidP="000D055E">
            <w:r>
              <w:rPr>
                <w:rFonts w:ascii="Arial" w:hAnsi="Arial" w:cs="Arial"/>
                <w:sz w:val="20"/>
                <w:szCs w:val="20"/>
              </w:rPr>
              <w:t>15-10-0</w:t>
            </w:r>
          </w:p>
        </w:tc>
        <w:tc>
          <w:tcPr>
            <w:tcW w:w="990" w:type="dxa"/>
            <w:vAlign w:val="center"/>
          </w:tcPr>
          <w:p w14:paraId="37C26E0B"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V4</w:t>
            </w:r>
          </w:p>
        </w:tc>
        <w:tc>
          <w:tcPr>
            <w:tcW w:w="2700" w:type="dxa"/>
            <w:vAlign w:val="center"/>
          </w:tcPr>
          <w:p w14:paraId="390462E1"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 xml:space="preserve">Illumina </w:t>
            </w:r>
            <w:proofErr w:type="spellStart"/>
            <w:r w:rsidRPr="00001ED0">
              <w:rPr>
                <w:rFonts w:ascii="Arial" w:eastAsia="Arial" w:hAnsi="Arial" w:cs="Arial"/>
                <w:sz w:val="20"/>
                <w:szCs w:val="20"/>
              </w:rPr>
              <w:t>MiSeq</w:t>
            </w:r>
            <w:proofErr w:type="spellEnd"/>
          </w:p>
        </w:tc>
        <w:tc>
          <w:tcPr>
            <w:tcW w:w="3420" w:type="dxa"/>
            <w:vAlign w:val="center"/>
          </w:tcPr>
          <w:p w14:paraId="78522521"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82,530 (58,358 – 142,226)</w:t>
            </w:r>
          </w:p>
        </w:tc>
      </w:tr>
      <w:tr w:rsidR="00625581" w14:paraId="44A3DFEA" w14:textId="77777777" w:rsidTr="000D055E">
        <w:tc>
          <w:tcPr>
            <w:tcW w:w="1885" w:type="dxa"/>
            <w:vAlign w:val="center"/>
          </w:tcPr>
          <w:p w14:paraId="5449757B"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Zhou_2018</w:t>
            </w:r>
            <w:r>
              <w:rPr>
                <w:rFonts w:ascii="Arial" w:eastAsia="Arial" w:hAnsi="Arial" w:cs="Arial"/>
                <w:sz w:val="20"/>
                <w:szCs w:val="20"/>
              </w:rPr>
              <w:t xml:space="preserve"> </w:t>
            </w:r>
            <w:r>
              <w:rPr>
                <w:rFonts w:ascii="Arial" w:eastAsia="Arial" w:hAnsi="Arial" w:cs="Arial"/>
                <w:sz w:val="20"/>
                <w:szCs w:val="20"/>
              </w:rPr>
              <w:fldChar w:fldCharType="begin"/>
            </w:r>
            <w:r>
              <w:rPr>
                <w:rFonts w:ascii="Arial" w:eastAsia="Arial" w:hAnsi="Arial" w:cs="Arial"/>
                <w:sz w:val="20"/>
                <w:szCs w:val="20"/>
              </w:rPr>
              <w:instrText xml:space="preserve"> ADDIN ZOTERO_ITEM CSL_CITATION {"citationID":"a19tu5ea84k","properties":{"formattedCitation":"(Zhou et al., 2018)","plainCitation":"(Zhou et al., 2018)","noteIndex":0},"citationItems":[{"id":477,"uris":["http://zotero.org/users/local/V6dRzw2J/items/FIUZSHL7"],"itemData":{"id":477,"type":"article-journal","abstract":"Gut microbiota dysbiosis contributes to the onset and perpetuation of inflammatory bowel disease (IBD). Given that gut microbiotas vary across geography and ethnicity, it remains obscure whether any universal microbial signatures for IBD diagnosis and prognosis evaluation exist irrespective of populations. Here we profiled the fecal microbiota of a series of Chinese IBD patients and combined them with two Western IBD cohorts, PRISM and RISK, for meta-analyses. We found that the gut microbial alteration patterns in IBD are similar among Chinese and Westerners. Our prediction model based on gut microbiome for IBD diagnosis is robust across the cohorts, which showed 87.5% and 79.1% prediction accuracy in Crohn's disease (CD) and ulcerative colitis (UC) patients, respectively. A relative increase in the levels of Actinobacteria and Proteobacteria (Enterobacteriaceae) and a relative decrease in the levels of Firmicutes (Clostridiales) were strongly correlated with IBD severity (P &lt; 0.05). Additionally, restoration of gut microbiota diversity and a significant increase in Clostridiales relative abundance were found in patients responding to infliximab (IFX [Remicade]) treatment compared to those in relapse. Moreover, certain microbes, mainly Clostridiales, predicted the treatment effectiveness with 86.5% accuracy alone and 93.8% accuracy in combination with calprotectin levels and Crohn's disease activity index (CDAI). Taking the results together, we conclude that gut microbiota can offer a set of universal biomarkers for diagnosis, disease activity evaluation, and infliximab treatment response prediction in IBD. IMPORTANCE In the present report, we show that the human fecal microbiota contains promising and universal biomarkers for the noninvasive evaluation of inflammatory bowel disease severity and IFX treatment efficacy, emphasizing the potential ability to mine the gut microbiota as a modality to stratify IBD patients and apply personalized therapy for optimal outcomes.","container-title":"mSystems","DOI":"10.1128/mSystems.00188-17","ISSN":"2379-5077","issue":"1","journalAbbreviation":"mSystems","language":"eng","note":"PMID: 29404425\nPMCID: PMC5790872","page":"e00188-17","source":"PubMed","title":"Gut Microbiota Offers Universal Biomarkers across Ethnicity in Inflammatory Bowel Disease Diagnosis and Infliximab Response Prediction","volume":"3","author":[{"family":"Zhou","given":"Youlian"},{"family":"Xu","given":"Zhenjiang Zech"},{"family":"He","given":"Yan"},{"family":"Yang","given":"Yunsheng"},{"family":"Liu","given":"Le"},{"family":"Lin","given":"Qianyun"},{"family":"Nie","given":"Yuqiang"},{"family":"Li","given":"Mingsong"},{"family":"Zhi","given":"Fachao"},{"family":"Liu","given":"Side"},{"family":"Amir","given":"Amnon"},{"family":"González","given":"Antonio"},{"family":"Tripathi","given":"Anupriya"},{"family":"Chen","given":"Minhu"},{"family":"Wu","given":"Gary D."},{"family":"Knight","given":"Rob"},{"family":"Zhou","given":"Hongwei"},{"family":"Chen","given":"Ye"}],"issued":{"date-parts":[["2018",2]]}}}],"schema":"https://github.com/citation-style-language/schema/raw/master/csl-citation.json"} </w:instrText>
            </w:r>
            <w:r>
              <w:rPr>
                <w:rFonts w:ascii="Arial" w:eastAsia="Arial" w:hAnsi="Arial" w:cs="Arial"/>
                <w:sz w:val="20"/>
                <w:szCs w:val="20"/>
              </w:rPr>
              <w:fldChar w:fldCharType="separate"/>
            </w:r>
            <w:r w:rsidRPr="005F6D64">
              <w:rPr>
                <w:rFonts w:ascii="Arial" w:hAnsi="Arial" w:cs="Arial"/>
                <w:sz w:val="20"/>
              </w:rPr>
              <w:t>(Zhou et al., 2018)</w:t>
            </w:r>
            <w:r>
              <w:rPr>
                <w:rFonts w:ascii="Arial" w:eastAsia="Arial" w:hAnsi="Arial" w:cs="Arial"/>
                <w:sz w:val="20"/>
                <w:szCs w:val="20"/>
              </w:rPr>
              <w:fldChar w:fldCharType="end"/>
            </w:r>
          </w:p>
        </w:tc>
        <w:tc>
          <w:tcPr>
            <w:tcW w:w="1260" w:type="dxa"/>
            <w:vAlign w:val="center"/>
          </w:tcPr>
          <w:p w14:paraId="212CC40F"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Stool</w:t>
            </w:r>
          </w:p>
        </w:tc>
        <w:tc>
          <w:tcPr>
            <w:tcW w:w="1350" w:type="dxa"/>
          </w:tcPr>
          <w:p w14:paraId="4D6A2BCB" w14:textId="77777777" w:rsidR="00625581" w:rsidRPr="000F1371" w:rsidRDefault="00625581" w:rsidP="000D055E">
            <w:pPr>
              <w:spacing w:line="360" w:lineRule="auto"/>
              <w:rPr>
                <w:rFonts w:ascii="Arial" w:eastAsia="Arial" w:hAnsi="Arial" w:cs="Arial"/>
                <w:sz w:val="20"/>
                <w:szCs w:val="20"/>
              </w:rPr>
            </w:pPr>
            <w:r w:rsidRPr="00985919">
              <w:rPr>
                <w:rFonts w:ascii="Arial" w:eastAsia="Arial" w:hAnsi="Arial" w:cs="Arial"/>
                <w:sz w:val="20"/>
                <w:szCs w:val="20"/>
              </w:rPr>
              <w:t>95-58-104</w:t>
            </w:r>
          </w:p>
        </w:tc>
        <w:tc>
          <w:tcPr>
            <w:tcW w:w="990" w:type="dxa"/>
            <w:vAlign w:val="center"/>
          </w:tcPr>
          <w:p w14:paraId="7D1EFB5C"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V4</w:t>
            </w:r>
          </w:p>
        </w:tc>
        <w:tc>
          <w:tcPr>
            <w:tcW w:w="2700" w:type="dxa"/>
            <w:vAlign w:val="center"/>
          </w:tcPr>
          <w:p w14:paraId="289DF8DA"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 xml:space="preserve">Illumina </w:t>
            </w:r>
            <w:proofErr w:type="spellStart"/>
            <w:r w:rsidRPr="00001ED0">
              <w:rPr>
                <w:rFonts w:ascii="Arial" w:eastAsia="Arial" w:hAnsi="Arial" w:cs="Arial"/>
                <w:sz w:val="20"/>
                <w:szCs w:val="20"/>
              </w:rPr>
              <w:t>MiSeq</w:t>
            </w:r>
            <w:proofErr w:type="spellEnd"/>
          </w:p>
        </w:tc>
        <w:tc>
          <w:tcPr>
            <w:tcW w:w="3420" w:type="dxa"/>
            <w:vAlign w:val="center"/>
          </w:tcPr>
          <w:p w14:paraId="4F60838F"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4,806 (291 – 11,021)</w:t>
            </w:r>
          </w:p>
        </w:tc>
      </w:tr>
      <w:tr w:rsidR="00625581" w14:paraId="0E99BF9B" w14:textId="77777777" w:rsidTr="000D055E">
        <w:tc>
          <w:tcPr>
            <w:tcW w:w="1885" w:type="dxa"/>
            <w:vAlign w:val="center"/>
          </w:tcPr>
          <w:p w14:paraId="5DD1DB1D"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Yilmaz_2019</w:t>
            </w:r>
            <w:r>
              <w:rPr>
                <w:rFonts w:ascii="Arial" w:eastAsia="Arial" w:hAnsi="Arial" w:cs="Arial"/>
                <w:sz w:val="20"/>
                <w:szCs w:val="20"/>
                <w:vertAlign w:val="superscript"/>
              </w:rPr>
              <w:t xml:space="preserve"> </w:t>
            </w:r>
            <w:r>
              <w:rPr>
                <w:rFonts w:ascii="Arial" w:eastAsia="Arial" w:hAnsi="Arial" w:cs="Arial"/>
                <w:sz w:val="20"/>
                <w:szCs w:val="20"/>
                <w:vertAlign w:val="superscript"/>
              </w:rPr>
              <w:fldChar w:fldCharType="begin"/>
            </w:r>
            <w:r>
              <w:rPr>
                <w:rFonts w:ascii="Arial" w:eastAsia="Arial" w:hAnsi="Arial" w:cs="Arial"/>
                <w:sz w:val="20"/>
                <w:szCs w:val="20"/>
                <w:vertAlign w:val="superscript"/>
              </w:rPr>
              <w:instrText xml:space="preserve"> ADDIN ZOTERO_ITEM CSL_CITATION {"citationID":"a2pf5ancnp6","properties":{"formattedCitation":"(Yilmaz et al., 2011)","plainCitation":"(Yilmaz et al., 2011)","noteIndex":0},"citationItems":[{"id":187,"uris":["http://zotero.org/users/local/V6dRzw2J/items/CLINSY8B"],"itemData":{"id":187,"type":"article-journal","container-title":"Nature biotechnology","issue":"5","note":"publisher: Nature Publishing Group","page":"415–420","title":"Minimum information about a marker gene sequence (MIMARKS) and minimum information about any (x) sequence (MIxS) specifications","volume":"29","author":[{"family":"Yilmaz","given":"Pelin"},{"family":"Kottmann","given":"Renzo"},{"family":"Field","given":"Dawn"},{"family":"Knight","given":"Rob"},{"family":"Cole","given":"James R"},{"family":"Amaral-Zettler","given":"Linda"},{"family":"Gilbert","given":"Jack A"},{"family":"Karsch-Mizrachi","given":"Ilene"},{"family":"Johnston","given":"Anjanette"},{"family":"Cochrane","given":"Guy"},{"literal":"others"}],"issued":{"date-parts":[["2011"]]}}}],"schema":"https://github.com/citation-style-language/schema/raw/master/csl-citation.json"} </w:instrText>
            </w:r>
            <w:r>
              <w:rPr>
                <w:rFonts w:ascii="Arial" w:eastAsia="Arial" w:hAnsi="Arial" w:cs="Arial"/>
                <w:sz w:val="20"/>
                <w:szCs w:val="20"/>
                <w:vertAlign w:val="superscript"/>
              </w:rPr>
              <w:fldChar w:fldCharType="separate"/>
            </w:r>
            <w:r w:rsidRPr="005F6D64">
              <w:rPr>
                <w:rFonts w:ascii="Arial" w:hAnsi="Arial" w:cs="Arial"/>
                <w:sz w:val="20"/>
              </w:rPr>
              <w:t>(Yilmaz et al., 2011)</w:t>
            </w:r>
            <w:r>
              <w:rPr>
                <w:rFonts w:ascii="Arial" w:eastAsia="Arial" w:hAnsi="Arial" w:cs="Arial"/>
                <w:sz w:val="20"/>
                <w:szCs w:val="20"/>
                <w:vertAlign w:val="superscript"/>
              </w:rPr>
              <w:fldChar w:fldCharType="end"/>
            </w:r>
          </w:p>
        </w:tc>
        <w:tc>
          <w:tcPr>
            <w:tcW w:w="1260" w:type="dxa"/>
            <w:vAlign w:val="center"/>
          </w:tcPr>
          <w:p w14:paraId="56CFCFD6"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Mucosa</w:t>
            </w:r>
          </w:p>
        </w:tc>
        <w:tc>
          <w:tcPr>
            <w:tcW w:w="1350" w:type="dxa"/>
          </w:tcPr>
          <w:p w14:paraId="7D651895" w14:textId="77777777" w:rsidR="00625581" w:rsidRPr="000F1371" w:rsidRDefault="00625581" w:rsidP="000D055E">
            <w:pPr>
              <w:spacing w:line="360" w:lineRule="auto"/>
              <w:rPr>
                <w:rFonts w:ascii="Arial" w:eastAsia="Arial" w:hAnsi="Arial" w:cs="Arial"/>
                <w:sz w:val="20"/>
                <w:szCs w:val="20"/>
              </w:rPr>
            </w:pPr>
            <w:r w:rsidRPr="00985919">
              <w:rPr>
                <w:rFonts w:ascii="Arial" w:eastAsia="Arial" w:hAnsi="Arial" w:cs="Arial"/>
                <w:sz w:val="20"/>
                <w:szCs w:val="20"/>
              </w:rPr>
              <w:t>158-147-189</w:t>
            </w:r>
          </w:p>
        </w:tc>
        <w:tc>
          <w:tcPr>
            <w:tcW w:w="990" w:type="dxa"/>
            <w:vAlign w:val="center"/>
          </w:tcPr>
          <w:p w14:paraId="2A6D1626"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V5-V6</w:t>
            </w:r>
          </w:p>
        </w:tc>
        <w:tc>
          <w:tcPr>
            <w:tcW w:w="2700" w:type="dxa"/>
            <w:vAlign w:val="center"/>
          </w:tcPr>
          <w:p w14:paraId="35F779C3"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color w:val="000000"/>
                <w:sz w:val="20"/>
                <w:szCs w:val="20"/>
                <w:highlight w:val="white"/>
              </w:rPr>
              <w:t>Ion Torrent PGM</w:t>
            </w:r>
          </w:p>
        </w:tc>
        <w:tc>
          <w:tcPr>
            <w:tcW w:w="3420" w:type="dxa"/>
            <w:vAlign w:val="center"/>
          </w:tcPr>
          <w:p w14:paraId="7206EC07" w14:textId="77777777" w:rsidR="00625581" w:rsidRPr="00001ED0" w:rsidRDefault="00625581" w:rsidP="000D055E">
            <w:pPr>
              <w:spacing w:line="360" w:lineRule="auto"/>
              <w:rPr>
                <w:rFonts w:ascii="Arial" w:eastAsia="Arial" w:hAnsi="Arial" w:cs="Arial"/>
                <w:color w:val="000000"/>
                <w:sz w:val="20"/>
                <w:szCs w:val="20"/>
                <w:highlight w:val="white"/>
              </w:rPr>
            </w:pPr>
            <w:r w:rsidRPr="00001ED0">
              <w:rPr>
                <w:rFonts w:ascii="Arial" w:eastAsia="Arial" w:hAnsi="Arial" w:cs="Arial"/>
                <w:color w:val="000000"/>
                <w:sz w:val="20"/>
                <w:szCs w:val="20"/>
                <w:highlight w:val="white"/>
              </w:rPr>
              <w:t>18,751.5 (3,230 – 1,469,000)</w:t>
            </w:r>
          </w:p>
        </w:tc>
      </w:tr>
      <w:tr w:rsidR="00625581" w14:paraId="2D9CED9C" w14:textId="77777777" w:rsidTr="000D055E">
        <w:tc>
          <w:tcPr>
            <w:tcW w:w="1885" w:type="dxa"/>
            <w:vAlign w:val="center"/>
          </w:tcPr>
          <w:p w14:paraId="3B5868E9"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lastRenderedPageBreak/>
              <w:t>Frank_2007</w:t>
            </w:r>
            <w:r>
              <w:rPr>
                <w:rFonts w:ascii="Arial" w:eastAsia="Arial" w:hAnsi="Arial" w:cs="Arial"/>
                <w:sz w:val="20"/>
                <w:szCs w:val="20"/>
              </w:rPr>
              <w:t xml:space="preserve"> </w:t>
            </w:r>
            <w:r>
              <w:rPr>
                <w:rFonts w:ascii="Arial" w:eastAsia="Arial" w:hAnsi="Arial" w:cs="Arial"/>
                <w:sz w:val="20"/>
                <w:szCs w:val="20"/>
              </w:rPr>
              <w:fldChar w:fldCharType="begin"/>
            </w:r>
            <w:r>
              <w:rPr>
                <w:rFonts w:ascii="Arial" w:eastAsia="Arial" w:hAnsi="Arial" w:cs="Arial"/>
                <w:sz w:val="20"/>
                <w:szCs w:val="20"/>
              </w:rPr>
              <w:instrText xml:space="preserve"> ADDIN ZOTERO_ITEM CSL_CITATION {"citationID":"an29c63p7o","properties":{"formattedCitation":"(Frank et al., 2007)","plainCitation":"(Frank et al., 2007)","noteIndex":0},"citationItems":[{"id":482,"uris":["http://zotero.org/users/local/V6dRzw2J/items/44NPE5UE"],"itemData":{"id":482,"type":"article-journal","abstract":"The two primary human inflammatory bowel diseases, Crohn's disease (CD) and ulcerative colitis (UC), are idiopathic relapsing disorders characterized by chronic inflammation of the intestinal tract. Although several lines of reasoning suggest that gastrointestinal (GI) microbes influence inflammatory bowel disease (IBD) pathogenesis, the types of microbes involved have not been adequately described. Here we report the results of a culture-independent rRNA sequence analysis of GI tissue samples obtained from CD and UC patients, as well as non-IBD controls. Specimens were obtained through surgery from a variety of intestinal sites and included both pathologically normal and abnormal states. Our results provide comprehensive molecular-based analysis of the microbiota of the human small intestine. Comparison of clone libraries reveals statistically significant differences between the microbiotas of CD and UC patients and those of non-IBD controls. Significantly, our results indicate that a subset of CD and UC samples contained abnormal GI microbiotas, characterized by depletion of commensal bacteria, notably members of the phyla Firmicutes and Bacteroidetes. Patient stratification by GI microbiota provides further evidence that CD represents a spectrum of disease states and suggests that treatment of some forms of IBD may be facilitated by redress of the detected microbiological imbalances.","container-title":"Proceedings of the National Academy of Sciences of the United States of America","DOI":"10.1073/pnas.0706625104","ISSN":"0027-8424","issue":"34","journalAbbreviation":"Proc Natl Acad Sci U S A","language":"eng","note":"PMID: 17699621\nPMCID: PMC1959459","page":"13780-13785","source":"PubMed","title":"Molecular-phylogenetic characterization of microbial community imbalances in human inflammatory bowel diseases","volume":"104","author":[{"family":"Frank","given":"Daniel N."},{"family":"St Amand","given":"Allison L."},{"family":"Feldman","given":"Robert A."},{"family":"Boedeker","given":"Edgar C."},{"family":"Harpaz","given":"Noam"},{"family":"Pace","given":"Norman R."}],"issued":{"date-parts":[["2007",8,21]]}}}],"schema":"https://github.com/citation-style-language/schema/raw/master/csl-citation.json"} </w:instrText>
            </w:r>
            <w:r>
              <w:rPr>
                <w:rFonts w:ascii="Arial" w:eastAsia="Arial" w:hAnsi="Arial" w:cs="Arial"/>
                <w:sz w:val="20"/>
                <w:szCs w:val="20"/>
              </w:rPr>
              <w:fldChar w:fldCharType="separate"/>
            </w:r>
            <w:r w:rsidRPr="005F6D64">
              <w:rPr>
                <w:rFonts w:ascii="Arial" w:hAnsi="Arial" w:cs="Arial"/>
                <w:sz w:val="20"/>
              </w:rPr>
              <w:t>(Frank et al., 2007)</w:t>
            </w:r>
            <w:r>
              <w:rPr>
                <w:rFonts w:ascii="Arial" w:eastAsia="Arial" w:hAnsi="Arial" w:cs="Arial"/>
                <w:sz w:val="20"/>
                <w:szCs w:val="20"/>
              </w:rPr>
              <w:fldChar w:fldCharType="end"/>
            </w:r>
          </w:p>
        </w:tc>
        <w:tc>
          <w:tcPr>
            <w:tcW w:w="1260" w:type="dxa"/>
            <w:vAlign w:val="center"/>
          </w:tcPr>
          <w:p w14:paraId="49BD970C"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Mucosa</w:t>
            </w:r>
          </w:p>
        </w:tc>
        <w:tc>
          <w:tcPr>
            <w:tcW w:w="1350" w:type="dxa"/>
          </w:tcPr>
          <w:p w14:paraId="0958907D" w14:textId="77777777" w:rsidR="00625581" w:rsidRPr="000F1371" w:rsidRDefault="00625581" w:rsidP="000D055E">
            <w:pPr>
              <w:spacing w:line="360" w:lineRule="auto"/>
              <w:rPr>
                <w:rFonts w:ascii="Arial" w:eastAsia="Arial" w:hAnsi="Arial" w:cs="Arial"/>
                <w:sz w:val="20"/>
                <w:szCs w:val="20"/>
              </w:rPr>
            </w:pPr>
            <w:r w:rsidRPr="0002771A">
              <w:rPr>
                <w:rFonts w:ascii="Arial" w:eastAsia="Arial" w:hAnsi="Arial" w:cs="Arial"/>
                <w:sz w:val="20"/>
                <w:szCs w:val="20"/>
              </w:rPr>
              <w:t>36-33-21</w:t>
            </w:r>
          </w:p>
        </w:tc>
        <w:tc>
          <w:tcPr>
            <w:tcW w:w="990" w:type="dxa"/>
            <w:vAlign w:val="center"/>
          </w:tcPr>
          <w:p w14:paraId="25ABB8D2"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V1-V4</w:t>
            </w:r>
          </w:p>
        </w:tc>
        <w:tc>
          <w:tcPr>
            <w:tcW w:w="2700" w:type="dxa"/>
            <w:vAlign w:val="center"/>
          </w:tcPr>
          <w:p w14:paraId="47DE069D" w14:textId="77777777" w:rsidR="00625581" w:rsidRPr="00001ED0" w:rsidRDefault="00625581" w:rsidP="000D055E">
            <w:pPr>
              <w:spacing w:line="360" w:lineRule="auto"/>
              <w:rPr>
                <w:rFonts w:ascii="Arial" w:eastAsia="Arial" w:hAnsi="Arial" w:cs="Arial"/>
                <w:color w:val="000000"/>
                <w:sz w:val="20"/>
                <w:szCs w:val="20"/>
                <w:highlight w:val="white"/>
              </w:rPr>
            </w:pPr>
            <w:proofErr w:type="spellStart"/>
            <w:r w:rsidRPr="00001ED0">
              <w:rPr>
                <w:rFonts w:ascii="Arial" w:eastAsia="Arial" w:hAnsi="Arial" w:cs="Arial"/>
                <w:sz w:val="20"/>
                <w:szCs w:val="20"/>
              </w:rPr>
              <w:t>Amersham</w:t>
            </w:r>
            <w:proofErr w:type="spellEnd"/>
            <w:r w:rsidRPr="00001ED0">
              <w:rPr>
                <w:rFonts w:ascii="Arial" w:eastAsia="Arial" w:hAnsi="Arial" w:cs="Arial"/>
                <w:sz w:val="20"/>
                <w:szCs w:val="20"/>
              </w:rPr>
              <w:t xml:space="preserve"> </w:t>
            </w:r>
            <w:proofErr w:type="spellStart"/>
            <w:r w:rsidRPr="00001ED0">
              <w:rPr>
                <w:rFonts w:ascii="Arial" w:eastAsia="Arial" w:hAnsi="Arial" w:cs="Arial"/>
                <w:sz w:val="20"/>
                <w:szCs w:val="20"/>
              </w:rPr>
              <w:t>MegaBACE</w:t>
            </w:r>
            <w:proofErr w:type="spellEnd"/>
            <w:r w:rsidRPr="00001ED0">
              <w:rPr>
                <w:rFonts w:ascii="Arial" w:eastAsia="Arial" w:hAnsi="Arial" w:cs="Arial"/>
                <w:sz w:val="20"/>
                <w:szCs w:val="20"/>
              </w:rPr>
              <w:t xml:space="preserve"> 1000 </w:t>
            </w:r>
          </w:p>
        </w:tc>
        <w:tc>
          <w:tcPr>
            <w:tcW w:w="3420" w:type="dxa"/>
            <w:vAlign w:val="center"/>
          </w:tcPr>
          <w:p w14:paraId="2BB082F6"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60 (23 – 94)</w:t>
            </w:r>
          </w:p>
        </w:tc>
      </w:tr>
      <w:tr w:rsidR="00625581" w14:paraId="14E2351D" w14:textId="77777777" w:rsidTr="000D055E">
        <w:tc>
          <w:tcPr>
            <w:tcW w:w="1885" w:type="dxa"/>
            <w:vAlign w:val="center"/>
          </w:tcPr>
          <w:p w14:paraId="78545621"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Lewis_2015</w:t>
            </w:r>
            <w:r>
              <w:rPr>
                <w:rFonts w:ascii="Arial" w:eastAsia="Arial" w:hAnsi="Arial" w:cs="Arial"/>
                <w:sz w:val="20"/>
                <w:szCs w:val="20"/>
              </w:rPr>
              <w:t xml:space="preserve"> </w:t>
            </w:r>
            <w:r>
              <w:rPr>
                <w:rFonts w:ascii="Arial" w:eastAsia="Arial" w:hAnsi="Arial" w:cs="Arial"/>
                <w:sz w:val="20"/>
                <w:szCs w:val="20"/>
              </w:rPr>
              <w:fldChar w:fldCharType="begin"/>
            </w:r>
            <w:r>
              <w:rPr>
                <w:rFonts w:ascii="Arial" w:eastAsia="Arial" w:hAnsi="Arial" w:cs="Arial"/>
                <w:sz w:val="20"/>
                <w:szCs w:val="20"/>
              </w:rPr>
              <w:instrText xml:space="preserve"> ADDIN ZOTERO_ITEM CSL_CITATION {"citationID":"a2buuj17r2i","properties":{"formattedCitation":"(Lewis et al., 2015)","plainCitation":"(Lewis et al., 2015)","noteIndex":0},"citationItems":[{"id":485,"uris":["http://zotero.org/users/local/V6dRzw2J/items/4H7XV5HL"],"itemData":{"id":485,"type":"article-journal","abstract":"Abnormal composition of intestinal bacteria--\"dysbiosis\"-is characteristic of Crohn's disease. Disease treatments include dietary changes and immunosuppressive anti-TNFα antibodies as well as ancillary antibiotic therapy, but their effects on microbiota composition are undetermined. Using shotgun metagenomic sequencing, we analyzed fecal samples from a prospective cohort of pediatric Crohn's disease patients starting therapy with enteral nutrition or anti-TNFα antibodies and reveal the full complement and dynamics of bacteria, fungi, archaea, and viruses during treatment. Bacterial community membership was associated independently with intestinal inflammation, antibiotic use, and therapy. Antibiotic exposure was associated with increased dysbiosis, whereas dysbiosis decreased with reduced intestinal inflammation. Fungal proportions increased with disease and antibiotic use. Dietary therapy had independent and rapid effects on microbiota composition distinct from other stressor-induced changes and effectively reduced inflammation. These findings reveal that dysbiosis results from independent effects of inflammation, diet, and antibiotics and shed light on Crohn disease treatments.","container-title":"Cell Host &amp; Microbe","DOI":"10.1016/j.chom.2015.09.008","ISSN":"1934-6069","issue":"4","journalAbbreviation":"Cell Host Microbe","language":"eng","note":"PMID: 26468751\nPMCID: PMC4633303","page":"489-500","source":"PubMed","title":"Inflammation, Antibiotics, and Diet as Environmental Stressors of the Gut Microbiome in Pediatric Crohn's Disease","volume":"18","author":[{"family":"Lewis","given":"James D."},{"family":"Chen","given":"Eric Z."},{"family":"Baldassano","given":"Robert N."},{"family":"Otley","given":"Anthony R."},{"family":"Griffiths","given":"Anne M."},{"family":"Lee","given":"Dale"},{"family":"Bittinger","given":"Kyle"},{"family":"Bailey","given":"Aubrey"},{"family":"Friedman","given":"Elliot S."},{"family":"Hoffmann","given":"Christian"},{"family":"Albenberg","given":"Lindsey"},{"family":"Sinha","given":"Rohini"},{"family":"Compher","given":"Charlene"},{"family":"Gilroy","given":"Erin"},{"family":"Nessel","given":"Lisa"},{"family":"Grant","given":"Amy"},{"family":"Chehoud","given":"Christel"},{"family":"Li","given":"Hongzhe"},{"family":"Wu","given":"Gary D."},{"family":"Bushman","given":"Frederic D."}],"issued":{"date-parts":[["2015",10,14]]}}}],"schema":"https://github.com/citation-style-language/schema/raw/master/csl-citation.json"} </w:instrText>
            </w:r>
            <w:r>
              <w:rPr>
                <w:rFonts w:ascii="Arial" w:eastAsia="Arial" w:hAnsi="Arial" w:cs="Arial"/>
                <w:sz w:val="20"/>
                <w:szCs w:val="20"/>
              </w:rPr>
              <w:fldChar w:fldCharType="separate"/>
            </w:r>
            <w:r w:rsidRPr="005F6D64">
              <w:rPr>
                <w:rFonts w:ascii="Arial" w:hAnsi="Arial" w:cs="Arial"/>
                <w:sz w:val="20"/>
              </w:rPr>
              <w:t>(Lewis et al., 2015)</w:t>
            </w:r>
            <w:r>
              <w:rPr>
                <w:rFonts w:ascii="Arial" w:eastAsia="Arial" w:hAnsi="Arial" w:cs="Arial"/>
                <w:sz w:val="20"/>
                <w:szCs w:val="20"/>
              </w:rPr>
              <w:fldChar w:fldCharType="end"/>
            </w:r>
          </w:p>
        </w:tc>
        <w:tc>
          <w:tcPr>
            <w:tcW w:w="1260" w:type="dxa"/>
            <w:vAlign w:val="center"/>
          </w:tcPr>
          <w:p w14:paraId="567935BC"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Stool</w:t>
            </w:r>
          </w:p>
        </w:tc>
        <w:tc>
          <w:tcPr>
            <w:tcW w:w="1350" w:type="dxa"/>
          </w:tcPr>
          <w:p w14:paraId="030F4FFB" w14:textId="77777777" w:rsidR="00625581" w:rsidRPr="000F1371" w:rsidRDefault="00625581" w:rsidP="000D055E">
            <w:pPr>
              <w:spacing w:line="360" w:lineRule="auto"/>
              <w:rPr>
                <w:rFonts w:ascii="Arial" w:eastAsia="Arial" w:hAnsi="Arial" w:cs="Arial"/>
                <w:sz w:val="20"/>
                <w:szCs w:val="20"/>
              </w:rPr>
            </w:pPr>
            <w:r w:rsidRPr="0002771A">
              <w:rPr>
                <w:rFonts w:ascii="Arial" w:eastAsia="Arial" w:hAnsi="Arial" w:cs="Arial"/>
                <w:sz w:val="20"/>
                <w:szCs w:val="20"/>
              </w:rPr>
              <w:t>26-0-105</w:t>
            </w:r>
          </w:p>
        </w:tc>
        <w:tc>
          <w:tcPr>
            <w:tcW w:w="990" w:type="dxa"/>
            <w:vAlign w:val="center"/>
          </w:tcPr>
          <w:p w14:paraId="7D7C0C1F"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WGS</w:t>
            </w:r>
          </w:p>
        </w:tc>
        <w:tc>
          <w:tcPr>
            <w:tcW w:w="2700" w:type="dxa"/>
            <w:vAlign w:val="center"/>
          </w:tcPr>
          <w:p w14:paraId="1AEA0D75" w14:textId="77777777" w:rsidR="00625581" w:rsidRPr="00001ED0" w:rsidRDefault="00625581" w:rsidP="000D055E">
            <w:pPr>
              <w:spacing w:line="360" w:lineRule="auto"/>
              <w:rPr>
                <w:rFonts w:ascii="Arial" w:eastAsia="Arial" w:hAnsi="Arial" w:cs="Arial"/>
                <w:color w:val="000000"/>
                <w:sz w:val="20"/>
                <w:szCs w:val="20"/>
                <w:highlight w:val="white"/>
              </w:rPr>
            </w:pPr>
            <w:r w:rsidRPr="00001ED0">
              <w:rPr>
                <w:rFonts w:ascii="Arial" w:eastAsia="Arial" w:hAnsi="Arial" w:cs="Arial"/>
                <w:sz w:val="20"/>
                <w:szCs w:val="20"/>
              </w:rPr>
              <w:t xml:space="preserve">Illumina </w:t>
            </w:r>
            <w:proofErr w:type="spellStart"/>
            <w:r w:rsidRPr="00001ED0">
              <w:rPr>
                <w:rFonts w:ascii="Arial" w:eastAsia="Arial" w:hAnsi="Arial" w:cs="Arial"/>
                <w:sz w:val="20"/>
                <w:szCs w:val="20"/>
              </w:rPr>
              <w:t>HiSeq</w:t>
            </w:r>
            <w:proofErr w:type="spellEnd"/>
            <w:r w:rsidRPr="00001ED0">
              <w:rPr>
                <w:rFonts w:ascii="Arial" w:eastAsia="Arial" w:hAnsi="Arial" w:cs="Arial"/>
                <w:sz w:val="20"/>
                <w:szCs w:val="20"/>
              </w:rPr>
              <w:t xml:space="preserve"> 2000</w:t>
            </w:r>
          </w:p>
        </w:tc>
        <w:tc>
          <w:tcPr>
            <w:tcW w:w="3420" w:type="dxa"/>
            <w:vAlign w:val="center"/>
          </w:tcPr>
          <w:p w14:paraId="20130637" w14:textId="77777777" w:rsidR="00625581" w:rsidRPr="00001ED0" w:rsidRDefault="00625581" w:rsidP="000D055E">
            <w:pPr>
              <w:spacing w:line="360" w:lineRule="auto"/>
              <w:rPr>
                <w:rFonts w:ascii="Arial" w:eastAsia="Arial" w:hAnsi="Arial" w:cs="Arial"/>
                <w:sz w:val="20"/>
                <w:szCs w:val="20"/>
              </w:rPr>
            </w:pPr>
            <w:r w:rsidRPr="00001ED0">
              <w:rPr>
                <w:rFonts w:ascii="Arial" w:eastAsia="Arial" w:hAnsi="Arial" w:cs="Arial"/>
                <w:sz w:val="20"/>
                <w:szCs w:val="20"/>
              </w:rPr>
              <w:t>13,852,376.5 (771,813 – 43,255,840)</w:t>
            </w:r>
          </w:p>
        </w:tc>
      </w:tr>
    </w:tbl>
    <w:p w14:paraId="7CC06A31" w14:textId="77777777" w:rsidR="00553EFC" w:rsidRDefault="00553EFC"/>
    <w:sectPr w:rsidR="00553EFC" w:rsidSect="00625581">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581"/>
    <w:rsid w:val="00553EFC"/>
    <w:rsid w:val="00625581"/>
    <w:rsid w:val="007B40FB"/>
    <w:rsid w:val="00E718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7BA48"/>
  <w15:chartTrackingRefBased/>
  <w15:docId w15:val="{5A845019-506B-4FEB-B520-04FEEF180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58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5183</Words>
  <Characters>29547</Characters>
  <Application>Microsoft Office Word</Application>
  <DocSecurity>0</DocSecurity>
  <Lines>246</Lines>
  <Paragraphs>69</Paragraphs>
  <ScaleCrop>false</ScaleCrop>
  <Company/>
  <LinksUpToDate>false</LinksUpToDate>
  <CharactersWithSpaces>34661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Rossides</dc:creator>
  <cp:keywords/>
  <dc:description/>
  <cp:lastModifiedBy>Nicole Rossides</cp:lastModifiedBy>
  <cp:revision>1</cp:revision>
  <dcterms:created xsi:type="dcterms:W3CDTF">2022-09-26T11:25:00Z</dcterms:created>
  <dcterms:modified xsi:type="dcterms:W3CDTF">2022-09-26T11:26:00Z</dcterms:modified>
</cp:coreProperties>
</file>